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140" w:lineRule="exact"/>
        <w:jc w:val="center"/>
        <w:textAlignment w:val="auto"/>
        <w:rPr>
          <w:rFonts w:hint="default"/>
          <w:lang w:val="en-US" w:eastAsia="zh-CN"/>
        </w:rPr>
      </w:pPr>
      <w:r>
        <w:rPr>
          <w:rFonts w:hint="eastAsia" w:ascii="微软雅黑" w:hAnsi="微软雅黑" w:eastAsia="微软雅黑" w:cs="微软雅黑"/>
          <w:sz w:val="36"/>
          <w:szCs w:val="28"/>
          <w:lang w:val="en-US" w:eastAsia="zh-CN"/>
        </w:rPr>
        <w:t>会议室LED屏幕一套</w:t>
      </w:r>
    </w:p>
    <w:tbl>
      <w:tblPr>
        <w:tblStyle w:val="6"/>
        <w:tblW w:w="15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80"/>
        <w:gridCol w:w="13219"/>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8" w:type="dxa"/>
            <w:vAlign w:val="center"/>
          </w:tcPr>
          <w:p>
            <w:pPr>
              <w:jc w:val="center"/>
              <w:rPr>
                <w:rFonts w:hint="default" w:ascii="宋体" w:hAnsi="宋体" w:eastAsia="宋体" w:cs="宋体"/>
                <w:b/>
                <w:bCs/>
                <w:vertAlign w:val="baseline"/>
                <w:lang w:val="en-US" w:eastAsia="zh-CN"/>
              </w:rPr>
            </w:pPr>
            <w:bookmarkStart w:id="0" w:name="OLE_LINK1"/>
            <w:r>
              <w:rPr>
                <w:rFonts w:hint="eastAsia" w:ascii="宋体" w:hAnsi="宋体" w:eastAsia="宋体" w:cs="宋体"/>
                <w:b/>
                <w:bCs/>
                <w:vertAlign w:val="baseline"/>
                <w:lang w:val="en-US" w:eastAsia="zh-CN"/>
              </w:rPr>
              <w:t>序号</w:t>
            </w:r>
          </w:p>
        </w:tc>
        <w:tc>
          <w:tcPr>
            <w:tcW w:w="880"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产品</w:t>
            </w:r>
          </w:p>
        </w:tc>
        <w:tc>
          <w:tcPr>
            <w:tcW w:w="13219"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技术参数</w:t>
            </w:r>
          </w:p>
        </w:tc>
        <w:tc>
          <w:tcPr>
            <w:tcW w:w="1017"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8"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1</w:t>
            </w:r>
          </w:p>
        </w:tc>
        <w:tc>
          <w:tcPr>
            <w:tcW w:w="880" w:type="dxa"/>
            <w:vAlign w:val="center"/>
          </w:tcPr>
          <w:p>
            <w:pPr>
              <w:jc w:val="center"/>
              <w:rPr>
                <w:rFonts w:hint="eastAsia"/>
                <w:lang w:val="en-US" w:eastAsia="zh-CN"/>
              </w:rPr>
            </w:pPr>
            <w:r>
              <w:rPr>
                <w:rFonts w:hint="eastAsia"/>
                <w:lang w:val="en-US" w:eastAsia="zh-CN"/>
              </w:rPr>
              <w:t>LED</w:t>
            </w:r>
          </w:p>
          <w:p>
            <w:pPr>
              <w:jc w:val="center"/>
              <w:rPr>
                <w:rFonts w:hint="eastAsia"/>
                <w:lang w:val="en-US" w:eastAsia="zh-CN"/>
              </w:rPr>
            </w:pPr>
            <w:r>
              <w:rPr>
                <w:rFonts w:hint="eastAsia"/>
                <w:lang w:val="en-US" w:eastAsia="zh-CN"/>
              </w:rPr>
              <w:t>显示屏</w:t>
            </w:r>
          </w:p>
          <w:p>
            <w:pPr>
              <w:pStyle w:val="2"/>
              <w:widowControl w:val="0"/>
              <w:ind w:left="0" w:leftChars="0" w:firstLine="0" w:firstLineChars="0"/>
              <w:rPr>
                <w:rFonts w:hint="default"/>
                <w:lang w:val="en-US" w:eastAsia="zh-CN"/>
              </w:rPr>
            </w:pPr>
          </w:p>
        </w:tc>
        <w:tc>
          <w:tcPr>
            <w:tcW w:w="13219" w:type="dxa"/>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产品规格：PH1.86；</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像素点间距:≤1.86mm；</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像素密度≥288906点/㎡；</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模组尺寸：320mm×160mm；</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模组分辨率≥172*86；</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箱体平整度≤0.05；</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支持单点亮度矫正，单点颜色矫正；</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白平衡亮度(nit) ≥800；</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色温(k) 介于 2000～15000；</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水平/垂直视角 ≥160°；</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亮度均匀性≥98.3%，色度均匀性介于±0.003 Cx,Cy内；</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对比度≥8000:1；</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最佳视距(m)为1.5m-3m之间；</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刷新率≥3840HZ;</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换帧频率为60HZ;</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灰度等级为灰度(bit) 14～16；</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模组驱动方式为恒流驱动；</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使用寿命≥200000小时；</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投标产品需提供中国节能产品认证证书（CQC）；</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20.投标产品需提供CCC认证证书；</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21.产品符合IEC 62471:2006 标准的光生物安全及蓝光危害评估检测的无危害类要求（豁免级），具备防蓝光护眼模式；</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22.平均无故障使用时间不低于200000小时；</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23.像素坏点率≤1/100000，无连续失控点；</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24.像素点失控（坏点或盲点）率：≤1/100000，无连续失控点；</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25.★平均无故障测试：平均无故障使用时间不低于200000h；</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26.对地漏电流：LED全彩显示屏显示模组可承受T=60S，1500V（交流有效值）；</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27.电器间隙：符合GB4943.1-2011信息技术设备安全标准对设备进行电气间隙试验的要求；</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28.爬电距离：符合GB4943.1-2011信息技术设备安全标准对设备进行机械强度试验的要求；</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29.★跌落：符合GB4943.1-2011 信息技术设备安全标准对设备进行跌落试验的要求；</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30.★图像旋转功能：无需拼控器，可实现对底图或信源画面进行中心旋转，适用于特殊场景或异性屏幕拼接；</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31.功耗：共阳产品：峰值：≤450W/㎡，平均：≤140W/㎡，带电黑屏的睡眠功率密度：≤50W/㎡；</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32.多点测温控制：具有多点测温功能，防止温度过高造成局部颜色混乱、分离，提高屏体寿命；</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33.★图像旋转功能：无需拼控器，可实现对底图或信源画面进行中心旋转，适用于特殊场景或异性屏幕拼接；</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34.任意分辨率点对点：支持任意非标准分辨率自适应，控制信号源输出，实现屏幕分辨率点对点显示；</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35.智能信源：屏体可以支持DVI、HDMI、DP信号输入，支持自动检索、切换信号源、无需手动切换信源；</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36.★模组智能储存：模组含智能存储电路，可以存储模组生产信息参数、运行参数等等，存储容量≥16kb；</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37.★刷新率：3840Hz，高刷新，支持通过配套控制软件调节刷新率设计选项；</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38.可视角度：CHIP型LED：水平视角≥170°/垂直视角≥170°TOP型LED：水平视角≥160°/垂直视角≥160°；</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39.波长与亮度误差：LED的各色光的波长误差在±2.5nm之内，LED的各色光的亮度误差在10%之内；</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40.★PCB板设计：共阳方案和共阴方案的兼容性设计，可匹配相应LED、IC来做出共阳产品或是共阴产品</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多层电路板沉金工艺设计，同时具有独特的消隐、节能处理、EMC处理、智能模组存储处理功能电路；</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41.★语音控制：屏体可以支持语音指令识别，可通过语音实现屏幕亮度调节、色温切换、场景切换、系统信息查看；</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42.★模组防掉落保护措施：每个模组与箱体之间都有防掉落锁扣式保险绳，能防止维护人员在维护过程中误操作时模组从高处掉落；</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43.★维修人员接触区内的危险防护：产品箱体内的强电危险电压电路做好隔离绝缘保护处理，维修时不会接触到危险电压；</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44.表面处理：可以支持喷墨工艺：显示屏产品可定制无面罩、采用喷墨工艺，且采用低反射率LED灯板</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可以支持面罩：斜条纹卡扣式处理，与摄像机角度配合做不反光处理，有效去除摩尔纹现象；</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★可以支持TOP-COB处理：对LED封装单元形成有效的保护，足以对抗极端恶劣的使用环境，实现真正的防水、防潮、防尘、防撞击、抗UV，有效避免掉灯的现象发生；</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45.温升测试：产品在正常播放视频状态下点亮5分钟后的产品表面温度升幅≤2℃，点亮10分钟后其温度升幅≤5℃；</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产品白平衡状态下点亮5分钟后的产品表面温度升幅≤10℃，点亮10分钟后其温度升幅≤20℃；</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产品正常使用工作达到热平衡状态后，屏体结构金属部分升温≤35℃，绝缘材料温升不超过≤30℃；</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46.投标产品需具备像素驱动芯片及其驱动方法、显示装置功能。</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47.投标产品需具备断点自修复像素驱动电路、驱动方法及显示装置功能。</w:t>
            </w:r>
          </w:p>
        </w:tc>
        <w:tc>
          <w:tcPr>
            <w:tcW w:w="1017" w:type="dxa"/>
            <w:vAlign w:val="center"/>
          </w:tcPr>
          <w:p>
            <w:pPr>
              <w:pStyle w:val="8"/>
              <w:spacing w:after="0" w:line="240" w:lineRule="auto"/>
              <w:ind w:firstLine="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11㎡</w:t>
            </w:r>
          </w:p>
          <w:p>
            <w:pPr>
              <w:pStyle w:val="8"/>
              <w:spacing w:after="0" w:line="240" w:lineRule="auto"/>
              <w:ind w:firstLine="0"/>
              <w:jc w:val="center"/>
              <w:rPr>
                <w:rFonts w:hint="default" w:asciiTheme="minorEastAsia" w:hAnsiTheme="minorEastAsia" w:eastAsiaTheme="minorEastAsia" w:cstheme="minorEastAsia"/>
                <w:sz w:val="24"/>
                <w:szCs w:val="24"/>
                <w:lang w:val="en-US" w:eastAsia="zh-CN"/>
              </w:rPr>
            </w:pPr>
            <w:r>
              <w:rPr>
                <w:rFonts w:hint="eastAsia" w:hAnsi="宋体" w:cs="宋体"/>
                <w:b w:val="0"/>
                <w:bCs w:val="0"/>
                <w:sz w:val="22"/>
                <w:szCs w:val="28"/>
                <w:vertAlign w:val="baseline"/>
                <w:lang w:val="en-US" w:eastAsia="zh-CN"/>
              </w:rPr>
              <w:t>（2组）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8"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2</w:t>
            </w:r>
          </w:p>
        </w:tc>
        <w:tc>
          <w:tcPr>
            <w:tcW w:w="880" w:type="dxa"/>
            <w:vAlign w:val="center"/>
          </w:tcPr>
          <w:p>
            <w:pPr>
              <w:jc w:val="center"/>
              <w:rPr>
                <w:rFonts w:hint="eastAsia" w:ascii="宋体" w:hAnsi="宋体" w:eastAsia="宋体" w:cs="宋体"/>
                <w:b w:val="0"/>
                <w:bCs w:val="0"/>
                <w:sz w:val="22"/>
                <w:szCs w:val="28"/>
                <w:vertAlign w:val="baseline"/>
                <w:lang w:val="en-US" w:eastAsia="zh-CN"/>
              </w:rPr>
            </w:pPr>
            <w:r>
              <w:rPr>
                <w:rFonts w:hint="eastAsia" w:ascii="宋体" w:hAnsi="宋体" w:eastAsia="宋体" w:cs="宋体"/>
                <w:b w:val="0"/>
                <w:bCs w:val="0"/>
                <w:sz w:val="22"/>
                <w:szCs w:val="28"/>
                <w:vertAlign w:val="baseline"/>
                <w:lang w:val="en-US" w:eastAsia="zh-CN"/>
              </w:rPr>
              <w:t>拼接</w:t>
            </w:r>
          </w:p>
          <w:p>
            <w:pPr>
              <w:jc w:val="center"/>
              <w:rPr>
                <w:rFonts w:hint="default" w:ascii="宋体" w:hAnsi="宋体" w:eastAsia="宋体" w:cs="宋体"/>
                <w:b w:val="0"/>
                <w:bCs w:val="0"/>
                <w:sz w:val="22"/>
                <w:szCs w:val="28"/>
                <w:vertAlign w:val="baseline"/>
                <w:lang w:val="en-US" w:eastAsia="zh-CN"/>
              </w:rPr>
            </w:pPr>
            <w:r>
              <w:rPr>
                <w:rFonts w:hint="eastAsia" w:ascii="宋体" w:hAnsi="宋体" w:eastAsia="宋体" w:cs="宋体"/>
                <w:b w:val="0"/>
                <w:bCs w:val="0"/>
                <w:sz w:val="22"/>
                <w:szCs w:val="28"/>
                <w:vertAlign w:val="baseline"/>
                <w:lang w:val="en-US" w:eastAsia="zh-CN"/>
              </w:rPr>
              <w:t>服务器</w:t>
            </w:r>
          </w:p>
        </w:tc>
        <w:tc>
          <w:tcPr>
            <w:tcW w:w="132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 支持多达 5 路输入接口，包括 1 路 DVI，1 路 HDMI 1.3，1 路 VGA，1 路 USB 播放，1 路 CVBS，1 路选配扩展子卡。</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 支持窗口位置、大小调整及窗口截取功能。</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 扩展子卡安装后支持使用鼠标或键盘进行控制和手机电脑等无线投屏。</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 支持输入源一键切换。</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 支持外置独立音频。</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 支持 DVI、HDMI 的输入分辨率预设及自定义调节。</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 支持画面一键全屏缩放、点对点显示、自定义缩放三种缩放模式。</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 支持快捷点屏，简单操作即可完成屏体配置。</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 支持 4 个网口输出，最大带载 260 万像素，最大宽度 3840 像素，最大高度 1920 像素。</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 支持创建 6 个用户场景作为模板保存，可直接调用，方便使用。</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 支持通过 RS232 协议连接中控设备。</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12. 支持屏体参数调整，例如亮度、Gamma 等13. 一个直观的 LCD 显示界面，清晰的按键灯提示，简化了系统的控制</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✭设备的接地和连接保护措施，可触及导体部件已经可靠接入保护接地，设备内的保护接地导体和保护连接导体中的元器件未串接开关或过流保护装置，并且所有的接地装置通过耐腐蚀性测试</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✭保证产品安全使用，操作人员接触区无可接触的能量危险，无裸露的电压危险部件在维修人员接触区域，设备内电容器的放电、Up=389Vp，1 秒后 0V</w:t>
            </w:r>
          </w:p>
          <w:p>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2"/>
                <w:sz w:val="22"/>
                <w:szCs w:val="22"/>
                <w:u w:val="none"/>
                <w:lang w:val="en-US" w:eastAsia="zh-CN" w:bidi="ar-SA"/>
              </w:rPr>
              <w:t>✭为保证产品具备电气绝缘能力，绝缘材料未使用石棉或者吸湿性材料用于绝缘，同时通过在30℃,95%R.H的环境下经过,48h的湿热处理</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✭保证产品结构以及机械强度在使用过程中无风险，设备需要通过冲击试验、经受 750mm 高度不同方向跌落 3 次跌落试验测试，无危险呈现</w:t>
            </w:r>
          </w:p>
        </w:tc>
        <w:tc>
          <w:tcPr>
            <w:tcW w:w="1017"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8"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3</w:t>
            </w:r>
          </w:p>
        </w:tc>
        <w:tc>
          <w:tcPr>
            <w:tcW w:w="880" w:type="dxa"/>
            <w:vAlign w:val="center"/>
          </w:tcPr>
          <w:p>
            <w:pPr>
              <w:jc w:val="center"/>
              <w:rPr>
                <w:rFonts w:hint="default" w:ascii="宋体" w:hAnsi="宋体" w:eastAsia="宋体" w:cs="宋体"/>
                <w:b w:val="0"/>
                <w:bCs w:val="0"/>
                <w:sz w:val="22"/>
                <w:szCs w:val="28"/>
                <w:vertAlign w:val="baseline"/>
                <w:lang w:val="en-US" w:eastAsia="zh-CN"/>
              </w:rPr>
            </w:pPr>
            <w:r>
              <w:rPr>
                <w:rFonts w:hint="eastAsia" w:ascii="宋体" w:hAnsi="宋体" w:eastAsia="宋体" w:cs="宋体"/>
                <w:b w:val="0"/>
                <w:bCs w:val="0"/>
                <w:sz w:val="22"/>
                <w:szCs w:val="28"/>
                <w:vertAlign w:val="baseline"/>
                <w:lang w:val="en-US" w:eastAsia="zh-CN"/>
              </w:rPr>
              <w:t>接收卡</w:t>
            </w:r>
          </w:p>
        </w:tc>
        <w:tc>
          <w:tcPr>
            <w:tcW w:w="13219" w:type="dxa"/>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单卡支持16组和24组数据输出模式；</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单卡自带12个HUB75  16P接口；</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单卡带载像素128*768/256*512。</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支持逐点亮色度校正、多批次、亮暗线调节和显示屏效果调节等功能，与3D控制器搭配支持3D效果；</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支持灯板flash管理；</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支持5pin液晶模块；</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支持接收卡参数及程序包回读；</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bookmarkStart w:id="1" w:name="_GoBack"/>
            <w:bookmarkEnd w:id="1"/>
            <w:r>
              <w:rPr>
                <w:rFonts w:hint="eastAsia" w:ascii="宋体" w:hAnsi="宋体" w:eastAsia="宋体" w:cs="宋体"/>
                <w:i w:val="0"/>
                <w:iCs w:val="0"/>
                <w:color w:val="000000"/>
                <w:kern w:val="2"/>
                <w:sz w:val="22"/>
                <w:szCs w:val="22"/>
                <w:u w:val="none"/>
                <w:lang w:val="en-US" w:eastAsia="zh-CN" w:bidi="ar-SA"/>
              </w:rPr>
              <w:t>接收卡具有与灯板一致的电源接口；</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✭RGB独立Gamma调节技术增加调节维度，通过对“红 Gamma”、“绿 Gamma”、“蓝 Gamma”分别进行调节，有效控制显示屏低灰不均匀、白平衡漂移等问题，使画面更加真实，提高色彩调节的灵活性</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✭可以监测自身的温度和电压，无需其他外设，在软件上可以查看接收卡的温度和电压，检测发送设备与接收卡间或接收卡与接收卡间的网络通讯质量，记录错误包数，协助排除网络通讯隐患</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✭为保证产品具备防火绝燃能力，所投产品需通过防火实验检测。</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✭可配合多功能卡，实现当温度高于设定值时，自动断电，或打开风扇空调降低温度，保证屏体安全</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✭在软件上可以将指定图片设置为显示屏的开机画面、网线断开或无视频源信号时的画面，接收卡出厂时保存了两份应用程序，以防程序更新过程异常导致的接收卡死锁问题</w:t>
            </w:r>
          </w:p>
        </w:tc>
        <w:tc>
          <w:tcPr>
            <w:tcW w:w="1017"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8" w:type="dxa"/>
            <w:vAlign w:val="center"/>
          </w:tcPr>
          <w:p>
            <w:pPr>
              <w:jc w:val="center"/>
              <w:rPr>
                <w:rFonts w:hint="default" w:ascii="宋体" w:hAnsi="宋体" w:eastAsia="宋体" w:cs="宋体"/>
                <w:b/>
                <w:bCs/>
                <w:vertAlign w:val="baseline"/>
                <w:lang w:val="en-US" w:eastAsia="zh-CN"/>
              </w:rPr>
            </w:pPr>
            <w:r>
              <w:rPr>
                <w:rFonts w:hint="eastAsia" w:ascii="宋体" w:hAnsi="宋体" w:eastAsia="宋体" w:cs="宋体"/>
                <w:b/>
                <w:bCs/>
                <w:vertAlign w:val="baseline"/>
                <w:lang w:val="en-US" w:eastAsia="zh-CN"/>
              </w:rPr>
              <w:t>4</w:t>
            </w:r>
          </w:p>
        </w:tc>
        <w:tc>
          <w:tcPr>
            <w:tcW w:w="880" w:type="dxa"/>
            <w:vAlign w:val="center"/>
          </w:tcPr>
          <w:p>
            <w:pPr>
              <w:jc w:val="center"/>
              <w:rPr>
                <w:rFonts w:hint="eastAsia" w:ascii="宋体" w:hAnsi="宋体" w:eastAsia="宋体" w:cs="宋体"/>
                <w:b w:val="0"/>
                <w:bCs w:val="0"/>
                <w:sz w:val="22"/>
                <w:szCs w:val="28"/>
                <w:vertAlign w:val="baseline"/>
                <w:lang w:val="en-US" w:eastAsia="zh-CN"/>
              </w:rPr>
            </w:pPr>
            <w:r>
              <w:rPr>
                <w:rFonts w:hint="eastAsia" w:ascii="宋体" w:hAnsi="宋体" w:eastAsia="宋体" w:cs="宋体"/>
                <w:b w:val="0"/>
                <w:bCs w:val="0"/>
                <w:sz w:val="22"/>
                <w:szCs w:val="28"/>
                <w:vertAlign w:val="baseline"/>
                <w:lang w:val="en-US" w:eastAsia="zh-CN"/>
              </w:rPr>
              <w:t>安装</w:t>
            </w:r>
          </w:p>
          <w:p>
            <w:pPr>
              <w:jc w:val="center"/>
              <w:rPr>
                <w:rFonts w:hint="default" w:ascii="宋体" w:hAnsi="宋体" w:eastAsia="宋体" w:cs="宋体"/>
                <w:b w:val="0"/>
                <w:bCs w:val="0"/>
                <w:sz w:val="22"/>
                <w:szCs w:val="28"/>
                <w:vertAlign w:val="baseline"/>
                <w:lang w:val="en-US" w:eastAsia="zh-CN"/>
              </w:rPr>
            </w:pPr>
            <w:r>
              <w:rPr>
                <w:rFonts w:hint="eastAsia" w:ascii="宋体" w:hAnsi="宋体" w:eastAsia="宋体" w:cs="宋体"/>
                <w:b w:val="0"/>
                <w:bCs w:val="0"/>
                <w:sz w:val="22"/>
                <w:szCs w:val="28"/>
                <w:vertAlign w:val="baseline"/>
                <w:lang w:val="en-US" w:eastAsia="zh-CN"/>
              </w:rPr>
              <w:t>调试</w:t>
            </w:r>
          </w:p>
        </w:tc>
        <w:tc>
          <w:tcPr>
            <w:tcW w:w="132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1.固定安装结构架采用Q235B国标材料,固定安装钢结构，现场制作；</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2.装饰包边采用铝板定制装饰包边；</w:t>
            </w:r>
          </w:p>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3.CAD图纸设计；</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4.辅材数据线，插座，机柜等。</w:t>
            </w:r>
          </w:p>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2"/>
                <w:sz w:val="22"/>
                <w:szCs w:val="22"/>
                <w:u w:val="none"/>
                <w:lang w:val="en-US" w:eastAsia="zh-CN" w:bidi="ar-SA"/>
              </w:rPr>
              <w:t>★5.整体质保叁年，质保金5%。</w:t>
            </w:r>
          </w:p>
        </w:tc>
        <w:tc>
          <w:tcPr>
            <w:tcW w:w="1017"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w:t>
            </w:r>
          </w:p>
        </w:tc>
      </w:tr>
      <w:bookmarkEnd w:id="0"/>
    </w:tbl>
    <w:p>
      <w:pPr>
        <w:pStyle w:val="2"/>
        <w:ind w:left="0" w:leftChars="0" w:firstLine="0" w:firstLineChars="0"/>
        <w:rPr>
          <w:rFonts w:hint="default"/>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F3BA03"/>
    <w:multiLevelType w:val="singleLevel"/>
    <w:tmpl w:val="CDF3BA03"/>
    <w:lvl w:ilvl="0" w:tentative="0">
      <w:start w:val="1"/>
      <w:numFmt w:val="decimal"/>
      <w:suff w:val="space"/>
      <w:lvlText w:val="%1."/>
      <w:lvlJc w:val="left"/>
    </w:lvl>
  </w:abstractNum>
  <w:abstractNum w:abstractNumId="1">
    <w:nsid w:val="2A2F4E68"/>
    <w:multiLevelType w:val="singleLevel"/>
    <w:tmpl w:val="2A2F4E6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624CA"/>
    <w:rsid w:val="01F476C5"/>
    <w:rsid w:val="03E746CB"/>
    <w:rsid w:val="04C57600"/>
    <w:rsid w:val="06A74496"/>
    <w:rsid w:val="06F96061"/>
    <w:rsid w:val="0F1D53B9"/>
    <w:rsid w:val="15571668"/>
    <w:rsid w:val="164E30BF"/>
    <w:rsid w:val="1BD60922"/>
    <w:rsid w:val="1DAF2ED1"/>
    <w:rsid w:val="21CD2E9A"/>
    <w:rsid w:val="264F02AE"/>
    <w:rsid w:val="27684C88"/>
    <w:rsid w:val="2A313BDC"/>
    <w:rsid w:val="2A864EAE"/>
    <w:rsid w:val="2BA03919"/>
    <w:rsid w:val="2C1E61CD"/>
    <w:rsid w:val="2D055FA6"/>
    <w:rsid w:val="2F581B83"/>
    <w:rsid w:val="331624CA"/>
    <w:rsid w:val="35E726A5"/>
    <w:rsid w:val="37A663A4"/>
    <w:rsid w:val="422F7C07"/>
    <w:rsid w:val="45A10332"/>
    <w:rsid w:val="460161AD"/>
    <w:rsid w:val="4A4C4F9B"/>
    <w:rsid w:val="4A5B7091"/>
    <w:rsid w:val="4BC4426B"/>
    <w:rsid w:val="4BE50AC9"/>
    <w:rsid w:val="4C95253F"/>
    <w:rsid w:val="4CEE1BD6"/>
    <w:rsid w:val="4CF212A2"/>
    <w:rsid w:val="4DFC404A"/>
    <w:rsid w:val="4F2D17BF"/>
    <w:rsid w:val="533351FC"/>
    <w:rsid w:val="56635C45"/>
    <w:rsid w:val="5A9262F1"/>
    <w:rsid w:val="5F8A72E2"/>
    <w:rsid w:val="5FC96F82"/>
    <w:rsid w:val="61AA5F13"/>
    <w:rsid w:val="61C57CAC"/>
    <w:rsid w:val="63E539D7"/>
    <w:rsid w:val="65086E48"/>
    <w:rsid w:val="67D4768B"/>
    <w:rsid w:val="69DF3DB8"/>
    <w:rsid w:val="6B193005"/>
    <w:rsid w:val="6C302958"/>
    <w:rsid w:val="6C9F4F8B"/>
    <w:rsid w:val="6DC23EA8"/>
    <w:rsid w:val="714179A3"/>
    <w:rsid w:val="75330866"/>
    <w:rsid w:val="7A8D009A"/>
    <w:rsid w:val="7ABB48D4"/>
    <w:rsid w:val="7AC07FE2"/>
    <w:rsid w:val="7D4365D7"/>
    <w:rsid w:val="7DA2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Other|1"/>
    <w:basedOn w:val="1"/>
    <w:qFormat/>
    <w:uiPriority w:val="0"/>
    <w:pPr>
      <w:spacing w:after="20" w:line="276" w:lineRule="auto"/>
      <w:ind w:firstLine="400"/>
      <w:jc w:val="left"/>
    </w:pPr>
    <w:rPr>
      <w:rFonts w:ascii="宋体" w:hAnsi="宋体" w:cs="宋体"/>
      <w:kern w:val="0"/>
      <w:sz w:val="20"/>
      <w:szCs w:val="2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3626</Words>
  <Characters>4392</Characters>
  <Lines>0</Lines>
  <Paragraphs>0</Paragraphs>
  <TotalTime>8</TotalTime>
  <ScaleCrop>false</ScaleCrop>
  <LinksUpToDate>false</LinksUpToDate>
  <CharactersWithSpaces>4507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2022-03-16T06:18:00Z</dcterms:created>
  <dc:creator>谢欣妍</dc:creator>
  <cp:lastModifiedBy>红帆</cp:lastModifiedBy>
  <dcterms:modified xsi:type="dcterms:W3CDTF">2022-03-29T10:31:45Z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5B29C6010CBE4728849B579A70C7FB69</vt:lpwstr>
  </property>
</Properties>
</file>