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1"/>
        <w:rPr>
          <w:rFonts w:ascii="宋体" w:hAnsi="宋体" w:cs="宋体"/>
          <w:b/>
          <w:sz w:val="32"/>
          <w:szCs w:val="32"/>
        </w:rPr>
      </w:pPr>
      <w:r>
        <w:rPr>
          <w:rFonts w:hint="eastAsia" w:ascii="宋体" w:hAnsi="宋体" w:cs="宋体"/>
          <w:b/>
          <w:sz w:val="32"/>
          <w:szCs w:val="32"/>
        </w:rPr>
        <w:t>长沙市中心医院信息安全等级保护测评服务要求</w:t>
      </w:r>
    </w:p>
    <w:p>
      <w:pPr>
        <w:pStyle w:val="2"/>
        <w:rPr>
          <w:b/>
          <w:sz w:val="28"/>
          <w:szCs w:val="28"/>
        </w:rPr>
      </w:pPr>
      <w:bookmarkStart w:id="6" w:name="_GoBack"/>
      <w:bookmarkEnd w:id="6"/>
      <w:r>
        <w:rPr>
          <w:rFonts w:hint="eastAsia"/>
          <w:b/>
          <w:sz w:val="28"/>
          <w:szCs w:val="28"/>
        </w:rPr>
        <w:t>一、项目背景</w:t>
      </w:r>
    </w:p>
    <w:p>
      <w:pPr>
        <w:pStyle w:val="2"/>
        <w:ind w:firstLine="560" w:firstLineChars="200"/>
        <w:rPr>
          <w:rFonts w:ascii="宋体" w:hAnsi="宋体" w:cs="宋体"/>
          <w:sz w:val="28"/>
          <w:szCs w:val="28"/>
        </w:rPr>
      </w:pPr>
      <w:r>
        <w:rPr>
          <w:rFonts w:hint="eastAsia" w:ascii="宋体" w:hAnsi="宋体" w:cs="宋体"/>
          <w:sz w:val="28"/>
          <w:szCs w:val="28"/>
        </w:rPr>
        <w:t>长沙市中心医院是在市委市政府领导下的综合性三级甲等医院。医院已备案的三级信息系统五个，分别是HIS系统、EMR系统、LIS系统、PACS系统、互联网医院，本次计划对这五个系统进行信息安全等级保护测评。</w:t>
      </w:r>
    </w:p>
    <w:p>
      <w:pPr>
        <w:pStyle w:val="3"/>
        <w:spacing w:before="0" w:after="0" w:line="360" w:lineRule="auto"/>
        <w:rPr>
          <w:rFonts w:ascii="宋体" w:hAnsi="宋体" w:cs="宋体"/>
          <w:sz w:val="28"/>
          <w:szCs w:val="28"/>
        </w:rPr>
      </w:pPr>
      <w:bookmarkStart w:id="0" w:name="_Toc13247"/>
      <w:r>
        <w:rPr>
          <w:rFonts w:hint="eastAsia" w:ascii="宋体" w:hAnsi="宋体" w:cs="宋体"/>
          <w:sz w:val="28"/>
          <w:szCs w:val="28"/>
        </w:rPr>
        <w:t>二、测评范围</w:t>
      </w:r>
      <w:bookmarkEnd w:id="0"/>
    </w:p>
    <w:tbl>
      <w:tblPr>
        <w:tblStyle w:val="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2865"/>
        <w:gridCol w:w="158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878" w:type="dxa"/>
            <w:vAlign w:val="center"/>
          </w:tcPr>
          <w:p>
            <w:pPr>
              <w:spacing w:line="360" w:lineRule="auto"/>
              <w:jc w:val="center"/>
              <w:rPr>
                <w:rFonts w:ascii="宋体" w:hAnsi="宋体" w:cs="宋体"/>
                <w:sz w:val="28"/>
                <w:szCs w:val="28"/>
              </w:rPr>
            </w:pPr>
            <w:r>
              <w:rPr>
                <w:rFonts w:hint="eastAsia" w:ascii="宋体" w:hAnsi="宋体" w:cs="宋体"/>
                <w:sz w:val="28"/>
                <w:szCs w:val="28"/>
              </w:rPr>
              <w:t>服务名称</w:t>
            </w:r>
          </w:p>
        </w:tc>
        <w:tc>
          <w:tcPr>
            <w:tcW w:w="2865" w:type="dxa"/>
            <w:vAlign w:val="center"/>
          </w:tcPr>
          <w:p>
            <w:pPr>
              <w:spacing w:line="360" w:lineRule="auto"/>
              <w:jc w:val="center"/>
              <w:rPr>
                <w:rFonts w:ascii="宋体" w:hAnsi="宋体" w:cs="宋体"/>
                <w:sz w:val="28"/>
                <w:szCs w:val="28"/>
              </w:rPr>
            </w:pPr>
            <w:r>
              <w:rPr>
                <w:rFonts w:hint="eastAsia" w:ascii="宋体" w:hAnsi="宋体" w:cs="宋体"/>
                <w:sz w:val="28"/>
                <w:szCs w:val="28"/>
              </w:rPr>
              <w:t>系统名称</w:t>
            </w:r>
          </w:p>
        </w:tc>
        <w:tc>
          <w:tcPr>
            <w:tcW w:w="1580" w:type="dxa"/>
            <w:vAlign w:val="center"/>
          </w:tcPr>
          <w:p>
            <w:pPr>
              <w:spacing w:line="360" w:lineRule="auto"/>
              <w:jc w:val="center"/>
              <w:rPr>
                <w:rFonts w:ascii="宋体" w:hAnsi="宋体" w:cs="宋体"/>
                <w:sz w:val="28"/>
                <w:szCs w:val="28"/>
              </w:rPr>
            </w:pPr>
            <w:r>
              <w:rPr>
                <w:rFonts w:hint="eastAsia" w:ascii="宋体" w:hAnsi="宋体" w:cs="宋体"/>
                <w:sz w:val="28"/>
                <w:szCs w:val="28"/>
              </w:rPr>
              <w:t>系统级别</w:t>
            </w:r>
          </w:p>
        </w:tc>
        <w:tc>
          <w:tcPr>
            <w:tcW w:w="1040"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878" w:type="dxa"/>
            <w:vMerge w:val="restart"/>
            <w:vAlign w:val="center"/>
          </w:tcPr>
          <w:p>
            <w:pPr>
              <w:spacing w:line="360" w:lineRule="auto"/>
              <w:jc w:val="center"/>
              <w:rPr>
                <w:rFonts w:ascii="宋体" w:hAnsi="宋体" w:cs="宋体"/>
                <w:sz w:val="28"/>
                <w:szCs w:val="28"/>
              </w:rPr>
            </w:pPr>
            <w:r>
              <w:rPr>
                <w:rFonts w:hint="eastAsia" w:ascii="宋体" w:hAnsi="宋体" w:cs="宋体"/>
                <w:sz w:val="28"/>
                <w:szCs w:val="28"/>
              </w:rPr>
              <w:t>信息系统安全</w:t>
            </w:r>
          </w:p>
          <w:p>
            <w:pPr>
              <w:spacing w:line="360" w:lineRule="auto"/>
              <w:jc w:val="center"/>
              <w:rPr>
                <w:rFonts w:ascii="宋体" w:hAnsi="宋体" w:cs="宋体"/>
                <w:sz w:val="28"/>
                <w:szCs w:val="28"/>
              </w:rPr>
            </w:pPr>
            <w:r>
              <w:rPr>
                <w:rFonts w:hint="eastAsia" w:ascii="宋体" w:hAnsi="宋体" w:cs="宋体"/>
                <w:sz w:val="28"/>
                <w:szCs w:val="28"/>
              </w:rPr>
              <w:t>等级保护测评</w:t>
            </w:r>
          </w:p>
        </w:tc>
        <w:tc>
          <w:tcPr>
            <w:tcW w:w="2865" w:type="dxa"/>
            <w:vAlign w:val="center"/>
          </w:tcPr>
          <w:p>
            <w:pPr>
              <w:spacing w:line="360" w:lineRule="auto"/>
              <w:jc w:val="center"/>
              <w:rPr>
                <w:rFonts w:ascii="宋体" w:hAnsi="宋体" w:cs="宋体"/>
                <w:sz w:val="28"/>
                <w:szCs w:val="28"/>
              </w:rPr>
            </w:pPr>
            <w:r>
              <w:rPr>
                <w:rFonts w:hint="eastAsia" w:ascii="宋体" w:hAnsi="宋体" w:cs="宋体"/>
                <w:sz w:val="28"/>
                <w:szCs w:val="28"/>
              </w:rPr>
              <w:t>L</w:t>
            </w:r>
            <w:r>
              <w:rPr>
                <w:rFonts w:ascii="宋体" w:hAnsi="宋体" w:cs="宋体"/>
                <w:sz w:val="28"/>
                <w:szCs w:val="28"/>
              </w:rPr>
              <w:t>IS</w:t>
            </w:r>
            <w:r>
              <w:rPr>
                <w:rFonts w:hint="eastAsia" w:ascii="宋体" w:hAnsi="宋体" w:cs="宋体"/>
                <w:sz w:val="28"/>
                <w:szCs w:val="28"/>
              </w:rPr>
              <w:t>系统</w:t>
            </w:r>
          </w:p>
        </w:tc>
        <w:tc>
          <w:tcPr>
            <w:tcW w:w="1580" w:type="dxa"/>
            <w:vAlign w:val="center"/>
          </w:tcPr>
          <w:p>
            <w:pPr>
              <w:spacing w:line="360" w:lineRule="auto"/>
              <w:jc w:val="center"/>
              <w:rPr>
                <w:rFonts w:ascii="宋体" w:hAnsi="宋体" w:cs="宋体"/>
                <w:sz w:val="28"/>
                <w:szCs w:val="28"/>
              </w:rPr>
            </w:pPr>
            <w:r>
              <w:rPr>
                <w:rFonts w:hint="eastAsia" w:ascii="宋体" w:hAnsi="宋体" w:cs="宋体"/>
                <w:sz w:val="28"/>
                <w:szCs w:val="28"/>
              </w:rPr>
              <w:t>三级</w:t>
            </w:r>
          </w:p>
        </w:tc>
        <w:tc>
          <w:tcPr>
            <w:tcW w:w="1040"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878" w:type="dxa"/>
            <w:vMerge w:val="continue"/>
            <w:vAlign w:val="center"/>
          </w:tcPr>
          <w:p>
            <w:pPr>
              <w:spacing w:line="360" w:lineRule="auto"/>
              <w:jc w:val="center"/>
              <w:rPr>
                <w:rFonts w:ascii="宋体" w:hAnsi="宋体" w:cs="宋体"/>
                <w:sz w:val="28"/>
                <w:szCs w:val="28"/>
              </w:rPr>
            </w:pPr>
          </w:p>
        </w:tc>
        <w:tc>
          <w:tcPr>
            <w:tcW w:w="2865" w:type="dxa"/>
            <w:vAlign w:val="center"/>
          </w:tcPr>
          <w:p>
            <w:pPr>
              <w:spacing w:line="360" w:lineRule="auto"/>
              <w:jc w:val="center"/>
              <w:rPr>
                <w:rFonts w:ascii="宋体" w:hAnsi="宋体" w:cs="宋体"/>
                <w:sz w:val="28"/>
                <w:szCs w:val="28"/>
              </w:rPr>
            </w:pPr>
            <w:r>
              <w:rPr>
                <w:rFonts w:hint="eastAsia" w:ascii="宋体" w:hAnsi="宋体" w:cs="宋体"/>
                <w:sz w:val="28"/>
                <w:szCs w:val="28"/>
              </w:rPr>
              <w:t>P</w:t>
            </w:r>
            <w:r>
              <w:rPr>
                <w:rFonts w:ascii="宋体" w:hAnsi="宋体" w:cs="宋体"/>
                <w:sz w:val="28"/>
                <w:szCs w:val="28"/>
              </w:rPr>
              <w:t>ACS</w:t>
            </w:r>
            <w:r>
              <w:rPr>
                <w:rFonts w:hint="eastAsia" w:ascii="宋体" w:hAnsi="宋体" w:cs="宋体"/>
                <w:sz w:val="28"/>
                <w:szCs w:val="28"/>
              </w:rPr>
              <w:t>系统</w:t>
            </w:r>
          </w:p>
        </w:tc>
        <w:tc>
          <w:tcPr>
            <w:tcW w:w="1580" w:type="dxa"/>
            <w:vAlign w:val="center"/>
          </w:tcPr>
          <w:p>
            <w:pPr>
              <w:spacing w:line="360" w:lineRule="auto"/>
              <w:jc w:val="center"/>
              <w:rPr>
                <w:rFonts w:ascii="宋体" w:hAnsi="宋体" w:cs="宋体"/>
                <w:sz w:val="28"/>
                <w:szCs w:val="28"/>
              </w:rPr>
            </w:pPr>
            <w:r>
              <w:rPr>
                <w:rFonts w:hint="eastAsia" w:ascii="宋体" w:hAnsi="宋体" w:cs="宋体"/>
                <w:sz w:val="28"/>
                <w:szCs w:val="28"/>
              </w:rPr>
              <w:t>三级</w:t>
            </w:r>
          </w:p>
        </w:tc>
        <w:tc>
          <w:tcPr>
            <w:tcW w:w="1040"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878" w:type="dxa"/>
            <w:vMerge w:val="continue"/>
            <w:vAlign w:val="center"/>
          </w:tcPr>
          <w:p>
            <w:pPr>
              <w:spacing w:line="360" w:lineRule="auto"/>
              <w:jc w:val="center"/>
              <w:rPr>
                <w:rFonts w:ascii="宋体" w:hAnsi="宋体" w:cs="宋体"/>
                <w:sz w:val="28"/>
                <w:szCs w:val="28"/>
              </w:rPr>
            </w:pPr>
          </w:p>
        </w:tc>
        <w:tc>
          <w:tcPr>
            <w:tcW w:w="2865" w:type="dxa"/>
            <w:vAlign w:val="center"/>
          </w:tcPr>
          <w:p>
            <w:pPr>
              <w:spacing w:line="360" w:lineRule="auto"/>
              <w:jc w:val="center"/>
              <w:rPr>
                <w:rFonts w:ascii="宋体" w:hAnsi="宋体" w:cs="宋体"/>
                <w:sz w:val="28"/>
                <w:szCs w:val="28"/>
              </w:rPr>
            </w:pPr>
            <w:r>
              <w:rPr>
                <w:rFonts w:ascii="宋体" w:hAnsi="宋体" w:cs="宋体"/>
                <w:sz w:val="28"/>
                <w:szCs w:val="28"/>
              </w:rPr>
              <w:t>EMR</w:t>
            </w:r>
            <w:r>
              <w:rPr>
                <w:rFonts w:hint="eastAsia" w:ascii="宋体" w:hAnsi="宋体" w:cs="宋体"/>
                <w:sz w:val="28"/>
                <w:szCs w:val="28"/>
              </w:rPr>
              <w:t>系统</w:t>
            </w:r>
          </w:p>
        </w:tc>
        <w:tc>
          <w:tcPr>
            <w:tcW w:w="1580" w:type="dxa"/>
            <w:vAlign w:val="center"/>
          </w:tcPr>
          <w:p>
            <w:pPr>
              <w:spacing w:line="360" w:lineRule="auto"/>
              <w:jc w:val="center"/>
              <w:rPr>
                <w:rFonts w:ascii="宋体" w:hAnsi="宋体" w:cs="宋体"/>
                <w:sz w:val="28"/>
                <w:szCs w:val="28"/>
              </w:rPr>
            </w:pPr>
            <w:r>
              <w:rPr>
                <w:rFonts w:hint="eastAsia" w:ascii="宋体" w:hAnsi="宋体" w:cs="宋体"/>
                <w:sz w:val="28"/>
                <w:szCs w:val="28"/>
              </w:rPr>
              <w:t>三级</w:t>
            </w:r>
          </w:p>
        </w:tc>
        <w:tc>
          <w:tcPr>
            <w:tcW w:w="1040"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878" w:type="dxa"/>
            <w:vMerge w:val="continue"/>
            <w:vAlign w:val="center"/>
          </w:tcPr>
          <w:p>
            <w:pPr>
              <w:spacing w:line="360" w:lineRule="auto"/>
              <w:jc w:val="center"/>
              <w:rPr>
                <w:rFonts w:ascii="宋体" w:hAnsi="宋体" w:cs="宋体"/>
                <w:sz w:val="28"/>
                <w:szCs w:val="28"/>
              </w:rPr>
            </w:pPr>
          </w:p>
        </w:tc>
        <w:tc>
          <w:tcPr>
            <w:tcW w:w="2865" w:type="dxa"/>
            <w:vAlign w:val="center"/>
          </w:tcPr>
          <w:p>
            <w:pPr>
              <w:spacing w:line="360" w:lineRule="auto"/>
              <w:jc w:val="center"/>
              <w:rPr>
                <w:rFonts w:ascii="宋体" w:hAnsi="宋体" w:cs="宋体"/>
                <w:sz w:val="28"/>
                <w:szCs w:val="28"/>
              </w:rPr>
            </w:pPr>
            <w:r>
              <w:rPr>
                <w:rFonts w:hint="eastAsia" w:ascii="宋体" w:hAnsi="宋体" w:cs="宋体"/>
                <w:sz w:val="28"/>
                <w:szCs w:val="28"/>
              </w:rPr>
              <w:t>H</w:t>
            </w:r>
            <w:r>
              <w:rPr>
                <w:rFonts w:ascii="宋体" w:hAnsi="宋体" w:cs="宋体"/>
                <w:sz w:val="28"/>
                <w:szCs w:val="28"/>
              </w:rPr>
              <w:t>IS</w:t>
            </w:r>
            <w:r>
              <w:rPr>
                <w:rFonts w:hint="eastAsia" w:ascii="宋体" w:hAnsi="宋体" w:cs="宋体"/>
                <w:sz w:val="28"/>
                <w:szCs w:val="28"/>
              </w:rPr>
              <w:t>系统</w:t>
            </w:r>
          </w:p>
        </w:tc>
        <w:tc>
          <w:tcPr>
            <w:tcW w:w="1580" w:type="dxa"/>
            <w:vAlign w:val="center"/>
          </w:tcPr>
          <w:p>
            <w:pPr>
              <w:spacing w:line="360" w:lineRule="auto"/>
              <w:jc w:val="center"/>
              <w:rPr>
                <w:rFonts w:ascii="宋体" w:hAnsi="宋体" w:cs="宋体"/>
                <w:sz w:val="28"/>
                <w:szCs w:val="28"/>
              </w:rPr>
            </w:pPr>
            <w:r>
              <w:rPr>
                <w:rFonts w:hint="eastAsia" w:ascii="宋体" w:hAnsi="宋体" w:cs="宋体"/>
                <w:sz w:val="28"/>
                <w:szCs w:val="28"/>
              </w:rPr>
              <w:t>三级</w:t>
            </w:r>
          </w:p>
        </w:tc>
        <w:tc>
          <w:tcPr>
            <w:tcW w:w="1040"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878" w:type="dxa"/>
            <w:vMerge w:val="continue"/>
            <w:vAlign w:val="center"/>
          </w:tcPr>
          <w:p>
            <w:pPr>
              <w:spacing w:line="360" w:lineRule="auto"/>
              <w:jc w:val="center"/>
              <w:rPr>
                <w:rFonts w:ascii="宋体" w:hAnsi="宋体" w:cs="宋体"/>
                <w:sz w:val="28"/>
                <w:szCs w:val="28"/>
              </w:rPr>
            </w:pPr>
          </w:p>
        </w:tc>
        <w:tc>
          <w:tcPr>
            <w:tcW w:w="2865" w:type="dxa"/>
            <w:vAlign w:val="center"/>
          </w:tcPr>
          <w:p>
            <w:pPr>
              <w:spacing w:line="360" w:lineRule="auto"/>
              <w:jc w:val="center"/>
              <w:rPr>
                <w:rFonts w:ascii="宋体" w:hAnsi="宋体" w:cs="宋体"/>
                <w:sz w:val="28"/>
                <w:szCs w:val="28"/>
              </w:rPr>
            </w:pPr>
            <w:r>
              <w:rPr>
                <w:rFonts w:hint="eastAsia" w:ascii="宋体" w:hAnsi="宋体" w:cs="宋体"/>
                <w:sz w:val="28"/>
                <w:szCs w:val="28"/>
              </w:rPr>
              <w:t>互联网医院</w:t>
            </w:r>
          </w:p>
        </w:tc>
        <w:tc>
          <w:tcPr>
            <w:tcW w:w="1580" w:type="dxa"/>
            <w:vAlign w:val="center"/>
          </w:tcPr>
          <w:p>
            <w:pPr>
              <w:spacing w:line="360" w:lineRule="auto"/>
              <w:jc w:val="center"/>
              <w:rPr>
                <w:rFonts w:ascii="宋体" w:hAnsi="宋体" w:cs="宋体"/>
                <w:sz w:val="28"/>
                <w:szCs w:val="28"/>
              </w:rPr>
            </w:pPr>
            <w:r>
              <w:rPr>
                <w:rFonts w:hint="eastAsia" w:ascii="宋体" w:hAnsi="宋体" w:cs="宋体"/>
                <w:sz w:val="28"/>
                <w:szCs w:val="28"/>
              </w:rPr>
              <w:t>三</w:t>
            </w:r>
            <w:r>
              <w:rPr>
                <w:rFonts w:ascii="宋体" w:hAnsi="宋体" w:cs="宋体"/>
                <w:sz w:val="28"/>
                <w:szCs w:val="28"/>
              </w:rPr>
              <w:t>级</w:t>
            </w:r>
          </w:p>
        </w:tc>
        <w:tc>
          <w:tcPr>
            <w:tcW w:w="1040"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r>
    </w:tbl>
    <w:p>
      <w:pPr>
        <w:pStyle w:val="3"/>
        <w:spacing w:before="0" w:after="0" w:line="360" w:lineRule="auto"/>
        <w:rPr>
          <w:rFonts w:ascii="宋体" w:hAnsi="宋体" w:cs="宋体"/>
          <w:bCs w:val="0"/>
          <w:sz w:val="28"/>
          <w:szCs w:val="28"/>
        </w:rPr>
      </w:pPr>
      <w:bookmarkStart w:id="1" w:name="_Toc23370"/>
      <w:r>
        <w:rPr>
          <w:rFonts w:hint="eastAsia" w:ascii="宋体" w:hAnsi="宋体" w:cs="宋体"/>
          <w:sz w:val="28"/>
          <w:szCs w:val="28"/>
        </w:rPr>
        <w:t>三、测评目标</w:t>
      </w:r>
      <w:bookmarkEnd w:id="1"/>
    </w:p>
    <w:p>
      <w:pPr>
        <w:spacing w:line="360" w:lineRule="auto"/>
        <w:ind w:firstLine="560" w:firstLineChars="200"/>
        <w:rPr>
          <w:rFonts w:ascii="宋体" w:hAnsi="宋体" w:cs="宋体"/>
          <w:sz w:val="28"/>
          <w:szCs w:val="28"/>
        </w:rPr>
      </w:pPr>
      <w:r>
        <w:rPr>
          <w:rFonts w:hint="eastAsia" w:ascii="宋体" w:hAnsi="宋体" w:cs="宋体"/>
          <w:sz w:val="28"/>
          <w:szCs w:val="28"/>
        </w:rPr>
        <w:t>根据《GB/T 22239—2019信息安全技术 网络安全等级保护基本要求》等标准组织开展信息系统等级保护符合性测评，衡量系统的安全保护管理措施和技术措施是否符合等级保护基本要求（三级），是否具备了相应的安全保护能力，判断现有的安全保护水平与国家信息安全等级保护管理规范和技术标准要求项之间的符合情况。通过对信息系统进行整体、全面、公正的评估，对不符合项进行风险分析，编写信息安全等级保护测评报告，以帮助和促进被测评信息系统达到国家规定的信息安全要求。</w:t>
      </w:r>
    </w:p>
    <w:p>
      <w:pPr>
        <w:pStyle w:val="3"/>
        <w:spacing w:before="0" w:after="0" w:line="360" w:lineRule="auto"/>
        <w:rPr>
          <w:rFonts w:ascii="宋体" w:hAnsi="宋体" w:cs="宋体"/>
          <w:sz w:val="28"/>
          <w:szCs w:val="28"/>
        </w:rPr>
      </w:pPr>
      <w:bookmarkStart w:id="2" w:name="_Toc22724"/>
      <w:r>
        <w:rPr>
          <w:rFonts w:hint="eastAsia" w:ascii="宋体" w:hAnsi="宋体" w:cs="宋体"/>
          <w:sz w:val="28"/>
          <w:szCs w:val="28"/>
        </w:rPr>
        <w:t>四、评估标准</w:t>
      </w:r>
      <w:bookmarkEnd w:id="2"/>
    </w:p>
    <w:p>
      <w:pPr>
        <w:ind w:firstLine="560" w:firstLineChars="200"/>
        <w:rPr>
          <w:sz w:val="28"/>
          <w:szCs w:val="28"/>
        </w:rPr>
      </w:pPr>
      <w:r>
        <w:rPr>
          <w:rFonts w:hint="eastAsia"/>
          <w:sz w:val="28"/>
          <w:szCs w:val="28"/>
          <w:lang w:eastAsia="zh-CN"/>
        </w:rPr>
        <w:t>竞价</w:t>
      </w:r>
      <w:r>
        <w:rPr>
          <w:rFonts w:hint="eastAsia"/>
          <w:sz w:val="28"/>
          <w:szCs w:val="28"/>
        </w:rPr>
        <w:t>人应依据国家相关政策标准开展工作，依据标准包括但不限于如下国家政策标准：</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《信息安全等级保护管理办法》（公通字[2007]43号）</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《关于开展全国重要信息系统安全等级保护定级工作的通知》（公信安[2007]861号）</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《关于开展信息安全等级保护安全建设整改工作的指导意见》（公信安[2009]1429号）</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关于进一步推进全省信息安全等级保护工作的函（湘公函[2011]21号）</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关于对全省重要信息系统开展信息安全等级保护专项检查工作的函（湘公函[2011]74号）</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GB/T 22240-2016《信息安全技术信息系统安全等级保护定级指南》</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GB/T 20269-2006《信息安全技术 信息系统安全管理要求》</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GB/T 22239-2019《信息安全技术 网络安全保护等级基本要求》</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GB/T 25058-2019《信息安全技术 网络安全保护等级实施指南》</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GB/T 25070-2019《信息安全技术 网络等级保护安全设计技术要求》</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GB/T 28448-2012《信息安全技术 信息系统安全等级保护测评要求》</w:t>
      </w:r>
    </w:p>
    <w:p>
      <w:pPr>
        <w:pStyle w:val="10"/>
        <w:numPr>
          <w:ilvl w:val="0"/>
          <w:numId w:val="1"/>
        </w:numPr>
        <w:spacing w:line="360" w:lineRule="auto"/>
        <w:ind w:firstLineChars="0"/>
        <w:rPr>
          <w:rFonts w:ascii="宋体" w:hAnsi="宋体" w:cs="宋体"/>
          <w:sz w:val="24"/>
          <w:szCs w:val="24"/>
        </w:rPr>
      </w:pPr>
      <w:r>
        <w:rPr>
          <w:rFonts w:hint="eastAsia" w:ascii="宋体" w:hAnsi="宋体" w:cs="宋体"/>
          <w:sz w:val="24"/>
          <w:szCs w:val="24"/>
        </w:rPr>
        <w:t>GB/T 28449-2018《信息安全技术 网络安全等级保护测评过程指南》</w:t>
      </w:r>
    </w:p>
    <w:p>
      <w:pPr>
        <w:pStyle w:val="3"/>
        <w:spacing w:before="0" w:after="0" w:line="360" w:lineRule="auto"/>
        <w:rPr>
          <w:rFonts w:ascii="宋体" w:hAnsi="宋体" w:cs="宋体"/>
          <w:sz w:val="28"/>
          <w:szCs w:val="28"/>
        </w:rPr>
      </w:pPr>
      <w:bookmarkStart w:id="3" w:name="_Toc29042"/>
      <w:r>
        <w:rPr>
          <w:rFonts w:hint="eastAsia" w:ascii="宋体" w:hAnsi="宋体" w:cs="宋体"/>
          <w:sz w:val="28"/>
          <w:szCs w:val="28"/>
        </w:rPr>
        <w:t>五、测评原则</w:t>
      </w:r>
      <w:bookmarkEnd w:id="3"/>
    </w:p>
    <w:p>
      <w:pPr>
        <w:numPr>
          <w:ilvl w:val="0"/>
          <w:numId w:val="2"/>
        </w:numPr>
        <w:spacing w:line="360" w:lineRule="auto"/>
        <w:ind w:left="845"/>
        <w:rPr>
          <w:rFonts w:ascii="宋体" w:hAnsi="宋体" w:cs="宋体"/>
          <w:sz w:val="28"/>
          <w:szCs w:val="28"/>
        </w:rPr>
      </w:pPr>
      <w:r>
        <w:rPr>
          <w:rFonts w:hint="eastAsia" w:ascii="宋体" w:hAnsi="宋体" w:cs="宋体"/>
          <w:sz w:val="28"/>
          <w:szCs w:val="28"/>
        </w:rPr>
        <w:t>规范性原则：严格遵循国家、行业相关规范、标准开展工作。</w:t>
      </w:r>
    </w:p>
    <w:p>
      <w:pPr>
        <w:numPr>
          <w:ilvl w:val="0"/>
          <w:numId w:val="2"/>
        </w:numPr>
        <w:spacing w:line="360" w:lineRule="auto"/>
        <w:ind w:left="845"/>
        <w:rPr>
          <w:rFonts w:ascii="宋体" w:hAnsi="宋体" w:cs="宋体"/>
          <w:sz w:val="28"/>
          <w:szCs w:val="28"/>
        </w:rPr>
      </w:pPr>
      <w:r>
        <w:rPr>
          <w:rFonts w:hint="eastAsia" w:ascii="宋体" w:hAnsi="宋体" w:cs="宋体"/>
          <w:sz w:val="28"/>
          <w:szCs w:val="28"/>
        </w:rPr>
        <w:t>最小影响原则：做好风险预防措施，尽可能避免对网络和信息系统造成影响；测评人员应该仅以发现系统安全漏洞为目的，不得采取对被测系统带有破坏性的信息安全测试。</w:t>
      </w:r>
    </w:p>
    <w:p>
      <w:pPr>
        <w:numPr>
          <w:ilvl w:val="0"/>
          <w:numId w:val="2"/>
        </w:numPr>
        <w:spacing w:line="360" w:lineRule="auto"/>
        <w:ind w:left="845"/>
        <w:rPr>
          <w:rFonts w:ascii="宋体" w:hAnsi="宋体" w:cs="宋体"/>
          <w:sz w:val="28"/>
          <w:szCs w:val="28"/>
        </w:rPr>
      </w:pPr>
      <w:r>
        <w:rPr>
          <w:rFonts w:hint="eastAsia" w:ascii="宋体" w:hAnsi="宋体" w:cs="宋体"/>
          <w:sz w:val="28"/>
          <w:szCs w:val="28"/>
        </w:rPr>
        <w:t>公平公正原则：按照统一标准开展等级保护测评工作，确保等级保护测评工作能够客观、真实地反应各被测系统网络安全等级保护现状。</w:t>
      </w:r>
    </w:p>
    <w:p>
      <w:pPr>
        <w:pStyle w:val="3"/>
        <w:spacing w:before="0" w:after="0" w:line="360" w:lineRule="auto"/>
        <w:rPr>
          <w:rFonts w:ascii="宋体" w:hAnsi="宋体" w:cs="宋体"/>
          <w:sz w:val="28"/>
          <w:szCs w:val="28"/>
        </w:rPr>
      </w:pPr>
      <w:bookmarkStart w:id="4" w:name="_Toc2193"/>
      <w:r>
        <w:rPr>
          <w:rFonts w:hint="eastAsia" w:ascii="宋体" w:hAnsi="宋体" w:cs="宋体"/>
          <w:sz w:val="28"/>
          <w:szCs w:val="28"/>
        </w:rPr>
        <w:t>六、测评内容</w:t>
      </w:r>
      <w:bookmarkEnd w:id="4"/>
    </w:p>
    <w:p>
      <w:pPr>
        <w:numPr>
          <w:ilvl w:val="0"/>
          <w:numId w:val="3"/>
        </w:numPr>
        <w:spacing w:line="360" w:lineRule="auto"/>
        <w:rPr>
          <w:rFonts w:ascii="宋体" w:hAnsi="宋体" w:cs="宋体"/>
          <w:sz w:val="28"/>
          <w:szCs w:val="28"/>
        </w:rPr>
      </w:pPr>
      <w:r>
        <w:rPr>
          <w:rFonts w:hint="eastAsia" w:ascii="宋体" w:hAnsi="宋体" w:cs="宋体"/>
          <w:sz w:val="28"/>
          <w:szCs w:val="28"/>
        </w:rPr>
        <w:t>对系统进行安全现状测评，以找出系统与相应等级基本要求之间的差距，明确系统安全运行现状。</w:t>
      </w:r>
    </w:p>
    <w:p>
      <w:pPr>
        <w:numPr>
          <w:ilvl w:val="0"/>
          <w:numId w:val="3"/>
        </w:numPr>
        <w:spacing w:line="360" w:lineRule="auto"/>
        <w:rPr>
          <w:rFonts w:ascii="宋体" w:hAnsi="宋体" w:cs="宋体"/>
          <w:sz w:val="28"/>
          <w:szCs w:val="28"/>
        </w:rPr>
      </w:pPr>
      <w:r>
        <w:rPr>
          <w:rFonts w:hint="eastAsia" w:ascii="宋体" w:hAnsi="宋体" w:cs="宋体"/>
          <w:sz w:val="28"/>
          <w:szCs w:val="28"/>
        </w:rPr>
        <w:t>进行系统安全等级测评，包括安全物理环境、安全区域边界、安全通信网络、安全计算环境、安全管理中心等内容、安全管理机构、安全管理制度、安全管理人员、安全建设管理和安全运维管理等内容，以确保系统在其相应等级保护要求下运行。</w:t>
      </w:r>
    </w:p>
    <w:p>
      <w:pPr>
        <w:numPr>
          <w:ilvl w:val="0"/>
          <w:numId w:val="3"/>
        </w:numPr>
        <w:spacing w:line="360" w:lineRule="auto"/>
        <w:rPr>
          <w:rFonts w:ascii="宋体" w:hAnsi="宋体" w:cs="宋体"/>
          <w:b/>
          <w:bCs/>
          <w:sz w:val="28"/>
          <w:szCs w:val="28"/>
        </w:rPr>
      </w:pPr>
      <w:r>
        <w:rPr>
          <w:rFonts w:hint="eastAsia" w:ascii="宋体" w:hAnsi="宋体" w:cs="宋体"/>
          <w:sz w:val="28"/>
          <w:szCs w:val="28"/>
        </w:rPr>
        <w:t>参照《GBT22239-2019信息安全技术网络安全等级保护基本要求》、《GBT25070-2019信息安全技术网络安全等级保护安全设计技术要求》、《GBT28448-2019信息安全技术网络安全等级保护测评要求》等相关规范，对信息系统进行等级测评，找出系统与国家标准要求之间的差距，对存在的风险进行评估，并出具公安部门认可的《信息安全等级测评报告》和《渗透测试报告》。</w:t>
      </w:r>
    </w:p>
    <w:p>
      <w:pPr>
        <w:wordWrap w:val="0"/>
        <w:adjustRightInd w:val="0"/>
        <w:snapToGrid w:val="0"/>
        <w:spacing w:line="360" w:lineRule="auto"/>
        <w:rPr>
          <w:rFonts w:ascii="宋体" w:hAnsi="宋体" w:cs="宋体"/>
          <w:b/>
          <w:bCs/>
          <w:sz w:val="28"/>
          <w:szCs w:val="28"/>
        </w:rPr>
      </w:pPr>
      <w:r>
        <w:rPr>
          <w:rFonts w:hint="eastAsia" w:ascii="宋体" w:hAnsi="宋体" w:cs="宋体"/>
          <w:b/>
          <w:bCs/>
          <w:sz w:val="28"/>
          <w:szCs w:val="28"/>
        </w:rPr>
        <w:t>七、技术服务要求</w:t>
      </w:r>
    </w:p>
    <w:p>
      <w:pPr>
        <w:pStyle w:val="10"/>
        <w:numPr>
          <w:ilvl w:val="0"/>
          <w:numId w:val="4"/>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本次等级测评应满足的原则</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rPr>
        <w:t>保密原则：对测评的过程数据和结果数据严格保密，未经授权不得泄露给任何单位和个人，不得利用此数据进行任何侵害招标人的行为，否则招标人有权追究</w:t>
      </w:r>
      <w:r>
        <w:rPr>
          <w:rFonts w:hint="eastAsia" w:ascii="宋体" w:hAnsi="宋体" w:cs="宋体"/>
          <w:sz w:val="28"/>
          <w:szCs w:val="28"/>
          <w:lang w:eastAsia="zh-CN"/>
        </w:rPr>
        <w:t>竞价</w:t>
      </w:r>
      <w:r>
        <w:rPr>
          <w:rFonts w:hint="eastAsia" w:ascii="宋体" w:hAnsi="宋体" w:cs="宋体"/>
          <w:sz w:val="28"/>
          <w:szCs w:val="28"/>
        </w:rPr>
        <w:t>人的责任。</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rPr>
        <w:t>标准性原则：测评方案的设计与实施应依据国家等级保护的相关标准进行。</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rPr>
        <w:t>规范性原则：测评工作中的过程和文档，具有很好的规范性，可以便于项目的跟踪和控制。</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rPr>
        <w:t>可控性原则：测评服务根据进度表进行安排，保证测评工作的进度可控。</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rPr>
        <w:t>整体性原则：测评的范围和内容应当整体全面，包括国家等级保护相关要求涉及的各个层面。</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rPr>
        <w:t>最小影响原则：测评工作应尽可能小的影响系统和网络，并在可控范围内；测评工作不能对现有信息系统的的正常运行、业务的正常开展产生任何影响。</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lang w:eastAsia="zh-CN"/>
        </w:rPr>
        <w:t>竞价</w:t>
      </w:r>
      <w:r>
        <w:rPr>
          <w:rFonts w:hint="eastAsia" w:ascii="宋体" w:hAnsi="宋体" w:cs="宋体"/>
          <w:sz w:val="28"/>
          <w:szCs w:val="28"/>
        </w:rPr>
        <w:t>人应严格依照上述原则和国家等级保护相关标准开展项目实施工作。</w:t>
      </w:r>
    </w:p>
    <w:p>
      <w:pPr>
        <w:pStyle w:val="10"/>
        <w:numPr>
          <w:ilvl w:val="0"/>
          <w:numId w:val="4"/>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本次等级测评的整体要求</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lang w:eastAsia="zh-CN"/>
        </w:rPr>
        <w:t>竞价</w:t>
      </w:r>
      <w:r>
        <w:rPr>
          <w:rFonts w:hint="eastAsia" w:ascii="宋体" w:hAnsi="宋体" w:cs="宋体"/>
          <w:sz w:val="28"/>
          <w:szCs w:val="28"/>
        </w:rPr>
        <w:t>人应详细描述本次信息系统安全等级保护测评的整体实施方案，包括项目概述、等级保护测评方案、测试过程中需使用测试设备清单、时间安排、阶段性文档提交等。</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lang w:eastAsia="zh-CN"/>
        </w:rPr>
        <w:t>竞价</w:t>
      </w:r>
      <w:r>
        <w:rPr>
          <w:rFonts w:hint="eastAsia" w:ascii="宋体" w:hAnsi="宋体" w:cs="宋体"/>
          <w:sz w:val="28"/>
          <w:szCs w:val="28"/>
        </w:rPr>
        <w:t>人应详细描述测评人员的组成、资质及各自职责的划分。</w:t>
      </w:r>
      <w:r>
        <w:rPr>
          <w:rFonts w:hint="eastAsia" w:ascii="宋体" w:hAnsi="宋体" w:cs="宋体"/>
          <w:sz w:val="28"/>
          <w:szCs w:val="28"/>
          <w:lang w:eastAsia="zh-CN"/>
        </w:rPr>
        <w:t>竞价</w:t>
      </w:r>
      <w:r>
        <w:rPr>
          <w:rFonts w:hint="eastAsia" w:ascii="宋体" w:hAnsi="宋体" w:cs="宋体"/>
          <w:sz w:val="28"/>
          <w:szCs w:val="28"/>
        </w:rPr>
        <w:t xml:space="preserve">人应配置有测评资质的专业人员进行本次信息安全等级保护测评工作。 </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rPr>
        <w:t>本次信息系统安全等级保护测评实施过程中所使用到的各种工具软件由</w:t>
      </w:r>
      <w:r>
        <w:rPr>
          <w:rFonts w:hint="eastAsia" w:ascii="宋体" w:hAnsi="宋体" w:cs="宋体"/>
          <w:sz w:val="28"/>
          <w:szCs w:val="28"/>
          <w:lang w:eastAsia="zh-CN"/>
        </w:rPr>
        <w:t>竞价</w:t>
      </w:r>
      <w:r>
        <w:rPr>
          <w:rFonts w:hint="eastAsia" w:ascii="宋体" w:hAnsi="宋体" w:cs="宋体"/>
          <w:sz w:val="28"/>
          <w:szCs w:val="28"/>
        </w:rPr>
        <w:t>人推荐，经招标人确认后由</w:t>
      </w:r>
      <w:r>
        <w:rPr>
          <w:rFonts w:hint="eastAsia" w:ascii="宋体" w:hAnsi="宋体" w:cs="宋体"/>
          <w:sz w:val="28"/>
          <w:szCs w:val="28"/>
          <w:lang w:eastAsia="zh-CN"/>
        </w:rPr>
        <w:t>竞价</w:t>
      </w:r>
      <w:r>
        <w:rPr>
          <w:rFonts w:hint="eastAsia" w:ascii="宋体" w:hAnsi="宋体" w:cs="宋体"/>
          <w:sz w:val="28"/>
          <w:szCs w:val="28"/>
        </w:rPr>
        <w:t>人提供并在信息系统等级保护测评中使用。</w:t>
      </w:r>
    </w:p>
    <w:p>
      <w:pPr>
        <w:wordWrap w:val="0"/>
        <w:adjustRightInd w:val="0"/>
        <w:snapToGrid w:val="0"/>
        <w:spacing w:line="360" w:lineRule="auto"/>
        <w:ind w:firstLine="480"/>
        <w:rPr>
          <w:rFonts w:ascii="宋体" w:hAnsi="宋体" w:cs="宋体"/>
          <w:sz w:val="28"/>
          <w:szCs w:val="28"/>
        </w:rPr>
      </w:pPr>
      <w:r>
        <w:rPr>
          <w:rFonts w:hint="eastAsia" w:ascii="宋体" w:hAnsi="宋体" w:cs="宋体"/>
          <w:sz w:val="28"/>
          <w:szCs w:val="28"/>
          <w:lang w:eastAsia="zh-CN"/>
        </w:rPr>
        <w:t>竞价</w:t>
      </w:r>
      <w:r>
        <w:rPr>
          <w:rFonts w:hint="eastAsia" w:ascii="宋体" w:hAnsi="宋体" w:cs="宋体"/>
          <w:sz w:val="28"/>
          <w:szCs w:val="28"/>
        </w:rPr>
        <w:t>人使用的漏洞扫描工具应具有以下风险发现功能：风险管理、基线检查、Websell检查、二进制后门、病毒扫描、补丁扫描、漏洞扫描、弱口令扫描。</w:t>
      </w:r>
    </w:p>
    <w:p>
      <w:pPr>
        <w:wordWrap w:val="0"/>
        <w:adjustRightInd w:val="0"/>
        <w:snapToGrid w:val="0"/>
        <w:spacing w:line="360" w:lineRule="auto"/>
        <w:rPr>
          <w:rFonts w:ascii="宋体" w:hAnsi="宋体" w:cs="宋体"/>
          <w:b/>
          <w:sz w:val="28"/>
          <w:szCs w:val="28"/>
        </w:rPr>
      </w:pPr>
      <w:r>
        <w:rPr>
          <w:rFonts w:hint="eastAsia" w:ascii="宋体" w:hAnsi="宋体" w:cs="宋体"/>
          <w:b/>
          <w:sz w:val="28"/>
          <w:szCs w:val="28"/>
        </w:rPr>
        <w:t>八、项目成果要求</w:t>
      </w:r>
    </w:p>
    <w:p>
      <w:pPr>
        <w:wordWrap w:val="0"/>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测评完成后，</w:t>
      </w:r>
      <w:r>
        <w:rPr>
          <w:rFonts w:hint="eastAsia" w:ascii="宋体" w:hAnsi="宋体" w:cs="宋体"/>
          <w:sz w:val="28"/>
          <w:szCs w:val="28"/>
          <w:lang w:eastAsia="zh-CN"/>
        </w:rPr>
        <w:t>竞价</w:t>
      </w:r>
      <w:r>
        <w:rPr>
          <w:rFonts w:hint="eastAsia" w:ascii="宋体" w:hAnsi="宋体" w:cs="宋体"/>
          <w:sz w:val="28"/>
          <w:szCs w:val="28"/>
        </w:rPr>
        <w:t>人须提交包括但不限于以下成果：</w:t>
      </w:r>
    </w:p>
    <w:p>
      <w:pPr>
        <w:pStyle w:val="10"/>
        <w:numPr>
          <w:ilvl w:val="0"/>
          <w:numId w:val="5"/>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《信息系统安全等级保护测评报告》：描述被测评系统的信息安全现状，找出存在的安全隐患，描述系统安全防护措施与国家标准要求之间的差距，对存在的漏洞进行风险分析，最后提出整改建议。</w:t>
      </w:r>
    </w:p>
    <w:p>
      <w:pPr>
        <w:pStyle w:val="10"/>
        <w:numPr>
          <w:ilvl w:val="0"/>
          <w:numId w:val="5"/>
        </w:numPr>
        <w:wordWrap w:val="0"/>
        <w:adjustRightInd w:val="0"/>
        <w:snapToGrid w:val="0"/>
        <w:spacing w:line="360" w:lineRule="auto"/>
        <w:ind w:firstLineChars="0"/>
        <w:rPr>
          <w:rFonts w:ascii="宋体" w:hAnsi="宋体" w:cs="宋体"/>
          <w:sz w:val="28"/>
          <w:szCs w:val="28"/>
        </w:rPr>
      </w:pPr>
      <w:bookmarkStart w:id="5" w:name="_Toc9300"/>
      <w:r>
        <w:rPr>
          <w:rFonts w:hint="eastAsia" w:ascii="宋体" w:hAnsi="宋体" w:cs="宋体"/>
          <w:sz w:val="28"/>
          <w:szCs w:val="28"/>
        </w:rPr>
        <w:t>《渗透测试报告》：针对等级保护测评过程中发现的安全问题，进行远程渗透性技术验证测试。</w:t>
      </w:r>
    </w:p>
    <w:p>
      <w:pPr>
        <w:pStyle w:val="10"/>
        <w:numPr>
          <w:ilvl w:val="0"/>
          <w:numId w:val="5"/>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上述报告作为验收依据。</w:t>
      </w:r>
    </w:p>
    <w:p>
      <w:pPr>
        <w:pStyle w:val="10"/>
        <w:numPr>
          <w:ilvl w:val="0"/>
          <w:numId w:val="6"/>
        </w:numPr>
        <w:wordWrap w:val="0"/>
        <w:adjustRightInd w:val="0"/>
        <w:snapToGrid w:val="0"/>
        <w:spacing w:line="360" w:lineRule="auto"/>
        <w:ind w:firstLineChars="0"/>
        <w:rPr>
          <w:rFonts w:ascii="宋体" w:hAnsi="宋体" w:cs="宋体"/>
          <w:b/>
          <w:bCs/>
          <w:sz w:val="28"/>
          <w:szCs w:val="28"/>
        </w:rPr>
      </w:pPr>
      <w:r>
        <w:rPr>
          <w:rFonts w:hint="eastAsia" w:ascii="宋体" w:hAnsi="宋体" w:cs="宋体"/>
          <w:b/>
          <w:bCs/>
          <w:sz w:val="28"/>
          <w:szCs w:val="28"/>
        </w:rPr>
        <w:t>其它要求</w:t>
      </w:r>
      <w:bookmarkEnd w:id="5"/>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lang w:eastAsia="zh-CN"/>
        </w:rPr>
        <w:t>竞价</w:t>
      </w:r>
      <w:r>
        <w:rPr>
          <w:rFonts w:hint="eastAsia" w:ascii="宋体" w:hAnsi="宋体" w:cs="宋体"/>
          <w:sz w:val="28"/>
          <w:szCs w:val="28"/>
        </w:rPr>
        <w:t>人须采取有效管理措施，确保被测评系统在测评期间的安全管理，切实防止测评人员在被测评系统中种植木马、病毒等危害性程序，防止发生测评人员非法获取、删改被测评系统数据等安全事件。相应安全管理措施须写入</w:t>
      </w:r>
      <w:r>
        <w:rPr>
          <w:rFonts w:hint="eastAsia" w:ascii="宋体" w:hAnsi="宋体" w:cs="宋体"/>
          <w:sz w:val="28"/>
          <w:szCs w:val="28"/>
          <w:lang w:eastAsia="zh-CN"/>
        </w:rPr>
        <w:t>竞价</w:t>
      </w:r>
      <w:r>
        <w:rPr>
          <w:rFonts w:hint="eastAsia" w:ascii="宋体" w:hAnsi="宋体" w:cs="宋体"/>
          <w:sz w:val="28"/>
          <w:szCs w:val="28"/>
        </w:rPr>
        <w:t>文件中。</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中标人中标后不得转包、分包。</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中标人须配合医院在重要检查和大型活动时，提供现场信息安全技术支持。</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sz w:val="28"/>
          <w:szCs w:val="28"/>
        </w:rPr>
        <w:t>要求</w:t>
      </w:r>
      <w:r>
        <w:rPr>
          <w:rFonts w:hint="eastAsia" w:ascii="宋体" w:hAnsi="宋体"/>
          <w:sz w:val="28"/>
          <w:szCs w:val="28"/>
          <w:lang w:eastAsia="zh-CN"/>
        </w:rPr>
        <w:t>竞价</w:t>
      </w:r>
      <w:r>
        <w:rPr>
          <w:rFonts w:hint="eastAsia" w:ascii="宋体" w:hAnsi="宋体"/>
          <w:sz w:val="28"/>
          <w:szCs w:val="28"/>
        </w:rPr>
        <w:t>人是《全国网络安全等级测评与检测评估机构目录》中的服务单位，并提供网上（www.djbh.net）查询的证明材料。</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要求项目负责人必须具备高级网络安全等级测评师资格，提供证书复印件及负责人的社保证明。</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业绩要求中标人近三年中标过三级甲等医疗机构等级评测项目。</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微软雅黑" w:hAnsi="微软雅黑"/>
          <w:sz w:val="28"/>
          <w:szCs w:val="28"/>
          <w:shd w:val="clear" w:color="auto" w:fill="FFFFFF"/>
        </w:rPr>
        <w:t>组织信息科工作人员进行一次专业信息安全培训，在在等级保护测评之外根据院方要求至少提供一次漏洞扫描、一次渗透测试服务，并提供相应的测试报告。</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针对重大信息安全突发事件提供应急响应服务，保障1小时内安全应急人员到场，迅速确定事件原因，缩小事件影响，遏制事态发展，快速恢复系统运维，并提交应急响应报告。</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提供4次安全巡检服务，根据院方时间安排进行。</w:t>
      </w:r>
    </w:p>
    <w:p>
      <w:pPr>
        <w:pStyle w:val="10"/>
        <w:numPr>
          <w:ilvl w:val="0"/>
          <w:numId w:val="7"/>
        </w:numPr>
        <w:wordWrap w:val="0"/>
        <w:adjustRightInd w:val="0"/>
        <w:snapToGrid w:val="0"/>
        <w:spacing w:line="360" w:lineRule="auto"/>
        <w:ind w:firstLineChars="0"/>
        <w:rPr>
          <w:rFonts w:ascii="宋体" w:hAnsi="宋体" w:cs="宋体"/>
          <w:sz w:val="28"/>
          <w:szCs w:val="28"/>
        </w:rPr>
      </w:pPr>
      <w:r>
        <w:rPr>
          <w:rFonts w:hint="eastAsia" w:ascii="宋体" w:hAnsi="宋体" w:cs="宋体"/>
          <w:sz w:val="28"/>
          <w:szCs w:val="28"/>
        </w:rPr>
        <w:t>为院方护网行动提供技术支持服务。</w:t>
      </w:r>
    </w:p>
    <w:p>
      <w:pPr>
        <w:pStyle w:val="10"/>
        <w:numPr>
          <w:ilvl w:val="0"/>
          <w:numId w:val="6"/>
        </w:numPr>
        <w:wordWrap w:val="0"/>
        <w:adjustRightInd w:val="0"/>
        <w:snapToGrid w:val="0"/>
        <w:spacing w:line="360" w:lineRule="auto"/>
        <w:ind w:firstLineChars="0"/>
        <w:rPr>
          <w:rFonts w:hint="default" w:ascii="宋体" w:hAnsi="宋体" w:cs="宋体"/>
          <w:b/>
          <w:bCs/>
          <w:sz w:val="28"/>
          <w:szCs w:val="28"/>
          <w:lang w:val="en-US" w:eastAsia="zh-CN"/>
        </w:rPr>
      </w:pPr>
      <w:r>
        <w:rPr>
          <w:rFonts w:hint="eastAsia" w:ascii="宋体" w:hAnsi="宋体" w:cs="宋体"/>
          <w:b/>
          <w:bCs/>
          <w:sz w:val="28"/>
          <w:szCs w:val="28"/>
          <w:lang w:val="en-US" w:eastAsia="zh-CN"/>
        </w:rPr>
        <w:t>付款方式</w:t>
      </w:r>
    </w:p>
    <w:p>
      <w:pPr>
        <w:pStyle w:val="10"/>
        <w:numPr>
          <w:ilvl w:val="0"/>
          <w:numId w:val="0"/>
        </w:numPr>
        <w:wordWrap w:val="0"/>
        <w:adjustRightInd w:val="0"/>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★按照上述要求完成测评并验收合格后，支付合同总金额的90%，余款10%自验收合格之日起1年后无息付清（无售后服务问题）。</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1C2CC"/>
    <w:multiLevelType w:val="singleLevel"/>
    <w:tmpl w:val="D0C1C2CC"/>
    <w:lvl w:ilvl="0" w:tentative="0">
      <w:start w:val="1"/>
      <w:numFmt w:val="decimal"/>
      <w:lvlText w:val="%1."/>
      <w:lvlJc w:val="left"/>
      <w:pPr>
        <w:ind w:left="420" w:hanging="420"/>
      </w:pPr>
      <w:rPr>
        <w:rFonts w:hint="default"/>
      </w:rPr>
    </w:lvl>
  </w:abstractNum>
  <w:abstractNum w:abstractNumId="1">
    <w:nsid w:val="0AA804FB"/>
    <w:multiLevelType w:val="multilevel"/>
    <w:tmpl w:val="0AA804FB"/>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E301951"/>
    <w:multiLevelType w:val="multilevel"/>
    <w:tmpl w:val="2E301951"/>
    <w:lvl w:ilvl="0" w:tentative="0">
      <w:start w:val="1"/>
      <w:numFmt w:val="decimal"/>
      <w:lvlText w:val="%1."/>
      <w:lvlJc w:val="left"/>
      <w:pPr>
        <w:ind w:left="840" w:hanging="420"/>
      </w:pPr>
      <w:rPr>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AAB0148"/>
    <w:multiLevelType w:val="multilevel"/>
    <w:tmpl w:val="3AAB014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F415529"/>
    <w:multiLevelType w:val="multilevel"/>
    <w:tmpl w:val="3F41552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7622E9B"/>
    <w:multiLevelType w:val="multilevel"/>
    <w:tmpl w:val="77622E9B"/>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CC43BEB"/>
    <w:multiLevelType w:val="multilevel"/>
    <w:tmpl w:val="7CC43BE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44"/>
    <w:rsid w:val="00002266"/>
    <w:rsid w:val="000126F7"/>
    <w:rsid w:val="00097000"/>
    <w:rsid w:val="000F7DE3"/>
    <w:rsid w:val="001073BA"/>
    <w:rsid w:val="001232B8"/>
    <w:rsid w:val="0017155E"/>
    <w:rsid w:val="001C5504"/>
    <w:rsid w:val="001D7D24"/>
    <w:rsid w:val="00204BD8"/>
    <w:rsid w:val="00207892"/>
    <w:rsid w:val="0021521F"/>
    <w:rsid w:val="00237E3E"/>
    <w:rsid w:val="00265ACB"/>
    <w:rsid w:val="00286966"/>
    <w:rsid w:val="002E0991"/>
    <w:rsid w:val="002F5516"/>
    <w:rsid w:val="00307F84"/>
    <w:rsid w:val="0032576D"/>
    <w:rsid w:val="00350A3D"/>
    <w:rsid w:val="00366D84"/>
    <w:rsid w:val="00372070"/>
    <w:rsid w:val="003C1292"/>
    <w:rsid w:val="003D5E98"/>
    <w:rsid w:val="00445981"/>
    <w:rsid w:val="004836C7"/>
    <w:rsid w:val="00492D4D"/>
    <w:rsid w:val="004C141C"/>
    <w:rsid w:val="004C34A2"/>
    <w:rsid w:val="00510589"/>
    <w:rsid w:val="00531424"/>
    <w:rsid w:val="00536EA9"/>
    <w:rsid w:val="00547D76"/>
    <w:rsid w:val="0056289D"/>
    <w:rsid w:val="005860AA"/>
    <w:rsid w:val="005913FA"/>
    <w:rsid w:val="005B7EA3"/>
    <w:rsid w:val="00602BEE"/>
    <w:rsid w:val="006104F7"/>
    <w:rsid w:val="00613F1F"/>
    <w:rsid w:val="00660612"/>
    <w:rsid w:val="00671588"/>
    <w:rsid w:val="00681735"/>
    <w:rsid w:val="006B1FA4"/>
    <w:rsid w:val="007D5E13"/>
    <w:rsid w:val="007E1822"/>
    <w:rsid w:val="00855DA8"/>
    <w:rsid w:val="008624D3"/>
    <w:rsid w:val="00866B88"/>
    <w:rsid w:val="00871D82"/>
    <w:rsid w:val="008A2637"/>
    <w:rsid w:val="008C75B1"/>
    <w:rsid w:val="008E555D"/>
    <w:rsid w:val="009244A2"/>
    <w:rsid w:val="009E1BA4"/>
    <w:rsid w:val="00AC5395"/>
    <w:rsid w:val="00B26E9A"/>
    <w:rsid w:val="00BA2E5B"/>
    <w:rsid w:val="00BD0D55"/>
    <w:rsid w:val="00BD19FF"/>
    <w:rsid w:val="00BD644A"/>
    <w:rsid w:val="00BF6944"/>
    <w:rsid w:val="00C119C2"/>
    <w:rsid w:val="00C2195C"/>
    <w:rsid w:val="00CA6C15"/>
    <w:rsid w:val="00CF2733"/>
    <w:rsid w:val="00D06D20"/>
    <w:rsid w:val="00D3625C"/>
    <w:rsid w:val="00D45769"/>
    <w:rsid w:val="00D746CE"/>
    <w:rsid w:val="00D802BD"/>
    <w:rsid w:val="00DC3FA3"/>
    <w:rsid w:val="00E13757"/>
    <w:rsid w:val="00E145DE"/>
    <w:rsid w:val="00E16D78"/>
    <w:rsid w:val="00E31A03"/>
    <w:rsid w:val="00EB54C7"/>
    <w:rsid w:val="00EC4E0A"/>
    <w:rsid w:val="00EE78DB"/>
    <w:rsid w:val="00F037EC"/>
    <w:rsid w:val="00F82466"/>
    <w:rsid w:val="00FA48DD"/>
    <w:rsid w:val="08017761"/>
    <w:rsid w:val="184604F9"/>
    <w:rsid w:val="41B80AE6"/>
    <w:rsid w:val="6A904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8"/>
    <w:qFormat/>
    <w:uiPriority w:val="0"/>
    <w:pPr>
      <w:spacing w:before="260" w:after="260" w:line="415"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9"/>
    <w:unhideWhenUsed/>
    <w:uiPriority w:val="0"/>
    <w:pPr>
      <w:spacing w:after="120"/>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字符"/>
    <w:basedOn w:val="7"/>
    <w:link w:val="3"/>
    <w:qFormat/>
    <w:uiPriority w:val="0"/>
    <w:rPr>
      <w:rFonts w:ascii="Times New Roman" w:hAnsi="Times New Roman" w:eastAsia="宋体" w:cs="Times New Roman"/>
      <w:b/>
      <w:bCs/>
      <w:sz w:val="32"/>
      <w:szCs w:val="32"/>
    </w:rPr>
  </w:style>
  <w:style w:type="character" w:customStyle="1" w:styleId="9">
    <w:name w:val="正文文本 字符"/>
    <w:basedOn w:val="7"/>
    <w:link w:val="2"/>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rPr>
      <w:rFonts w:ascii="Calibri" w:hAnsi="Calibri"/>
      <w:szCs w:val="22"/>
    </w:rPr>
  </w:style>
  <w:style w:type="character" w:customStyle="1" w:styleId="11">
    <w:name w:val="页眉 字符"/>
    <w:basedOn w:val="7"/>
    <w:link w:val="5"/>
    <w:uiPriority w:val="99"/>
    <w:rPr>
      <w:rFonts w:ascii="Times New Roman" w:hAnsi="Times New Roman" w:eastAsia="宋体" w:cs="Times New Roman"/>
      <w:sz w:val="18"/>
      <w:szCs w:val="18"/>
    </w:rPr>
  </w:style>
  <w:style w:type="character" w:customStyle="1" w:styleId="12">
    <w:name w:val="页脚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451</Words>
  <Characters>2576</Characters>
  <Lines>21</Lines>
  <Paragraphs>6</Paragraphs>
  <TotalTime>0</TotalTime>
  <ScaleCrop>false</ScaleCrop>
  <LinksUpToDate>false</LinksUpToDate>
  <CharactersWithSpaces>3021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2022-10-17T02:50:00Z</dcterms:created>
  <dc:creator>解 成峰</dc:creator>
  <cp:lastModifiedBy>X</cp:lastModifiedBy>
  <cp:lastPrinted>2020-09-15T01:04:00Z</cp:lastPrinted>
  <dcterms:modified xsi:type="dcterms:W3CDTF">2022-11-06T10:14:53Z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78573BA19CD34E748DE2604F120556FE</vt:lpwstr>
  </property>
</Properties>
</file>