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4956D" w14:textId="77777777" w:rsidR="00BA4B28" w:rsidRDefault="00BA4B28">
      <w:pPr>
        <w:jc w:val="center"/>
        <w:rPr>
          <w:rFonts w:ascii="宋体" w:eastAsia="宋体" w:hAnsi="宋体"/>
          <w:sz w:val="28"/>
          <w:szCs w:val="28"/>
        </w:rPr>
      </w:pPr>
    </w:p>
    <w:p w14:paraId="5FB925FF" w14:textId="50FFAAB0" w:rsidR="00BA4B28" w:rsidRDefault="00EF1143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</w:t>
      </w:r>
      <w:bookmarkStart w:id="0" w:name="_GoBack"/>
      <w:bookmarkEnd w:id="0"/>
      <w:r>
        <w:rPr>
          <w:rFonts w:ascii="宋体" w:eastAsia="宋体" w:hAnsi="宋体" w:hint="eastAsia"/>
          <w:b/>
          <w:sz w:val="28"/>
          <w:szCs w:val="28"/>
        </w:rPr>
        <w:t>：核心</w:t>
      </w:r>
      <w:r w:rsidR="00165143">
        <w:rPr>
          <w:rFonts w:ascii="宋体" w:eastAsia="宋体" w:hAnsi="宋体" w:hint="eastAsia"/>
          <w:b/>
          <w:sz w:val="28"/>
          <w:szCs w:val="28"/>
        </w:rPr>
        <w:t>（以太网）</w:t>
      </w:r>
      <w:r>
        <w:rPr>
          <w:rFonts w:ascii="宋体" w:eastAsia="宋体" w:hAnsi="宋体" w:hint="eastAsia"/>
          <w:b/>
          <w:sz w:val="28"/>
          <w:szCs w:val="28"/>
        </w:rPr>
        <w:t>交换机技术</w:t>
      </w:r>
      <w:r>
        <w:rPr>
          <w:rFonts w:ascii="宋体" w:eastAsia="宋体" w:hAnsi="宋体"/>
          <w:b/>
          <w:sz w:val="28"/>
          <w:szCs w:val="28"/>
        </w:rPr>
        <w:t>需求表</w:t>
      </w:r>
    </w:p>
    <w:p w14:paraId="05F47B1B" w14:textId="1BB6BFB6" w:rsidR="008B521E" w:rsidRDefault="00AC15F9" w:rsidP="008B521E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品目编码：A0201020</w:t>
      </w:r>
      <w:r>
        <w:rPr>
          <w:rFonts w:ascii="宋体" w:eastAsia="宋体" w:hAnsi="宋体"/>
          <w:b/>
          <w:sz w:val="28"/>
          <w:szCs w:val="28"/>
        </w:rPr>
        <w:t xml:space="preserve">2 </w:t>
      </w:r>
      <w:r>
        <w:rPr>
          <w:rFonts w:ascii="宋体" w:eastAsia="宋体" w:hAnsi="宋体" w:hint="eastAsia"/>
          <w:b/>
          <w:sz w:val="28"/>
          <w:szCs w:val="28"/>
        </w:rPr>
        <w:t>交换设备</w:t>
      </w:r>
    </w:p>
    <w:tbl>
      <w:tblPr>
        <w:tblStyle w:val="a6"/>
        <w:tblpPr w:leftFromText="180" w:rightFromText="180" w:vertAnchor="text" w:horzAnchor="margin" w:tblpXSpec="center" w:tblpY="484"/>
        <w:tblW w:w="9493" w:type="dxa"/>
        <w:tblLook w:val="04A0" w:firstRow="1" w:lastRow="0" w:firstColumn="1" w:lastColumn="0" w:noHBand="0" w:noVBand="1"/>
      </w:tblPr>
      <w:tblGrid>
        <w:gridCol w:w="703"/>
        <w:gridCol w:w="989"/>
        <w:gridCol w:w="5229"/>
        <w:gridCol w:w="905"/>
        <w:gridCol w:w="816"/>
        <w:gridCol w:w="851"/>
      </w:tblGrid>
      <w:tr w:rsidR="00BA4B28" w14:paraId="74584BAC" w14:textId="77777777">
        <w:tc>
          <w:tcPr>
            <w:tcW w:w="704" w:type="dxa"/>
            <w:vAlign w:val="center"/>
          </w:tcPr>
          <w:p w14:paraId="01009C4C" w14:textId="77777777" w:rsidR="00BA4B28" w:rsidRDefault="00EF1143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14:paraId="522F578C" w14:textId="77777777" w:rsidR="00BA4B28" w:rsidRDefault="00EF1143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设备</w:t>
            </w:r>
          </w:p>
          <w:p w14:paraId="16F67AAD" w14:textId="77777777" w:rsidR="00BA4B28" w:rsidRDefault="00EF1143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5245" w:type="dxa"/>
            <w:vAlign w:val="center"/>
          </w:tcPr>
          <w:p w14:paraId="3C23B6D0" w14:textId="77777777" w:rsidR="00BA4B28" w:rsidRDefault="00EF1143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技术需求</w:t>
            </w:r>
          </w:p>
        </w:tc>
        <w:tc>
          <w:tcPr>
            <w:tcW w:w="905" w:type="dxa"/>
            <w:vAlign w:val="center"/>
          </w:tcPr>
          <w:p w14:paraId="3110B8E8" w14:textId="77777777" w:rsidR="00BA4B28" w:rsidRDefault="00EF1143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单价</w:t>
            </w:r>
          </w:p>
        </w:tc>
        <w:tc>
          <w:tcPr>
            <w:tcW w:w="818" w:type="dxa"/>
            <w:vAlign w:val="center"/>
          </w:tcPr>
          <w:p w14:paraId="1D7F2FEF" w14:textId="77777777" w:rsidR="00BA4B28" w:rsidRDefault="00EF1143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829" w:type="dxa"/>
            <w:vAlign w:val="center"/>
          </w:tcPr>
          <w:p w14:paraId="64F23953" w14:textId="77777777" w:rsidR="00BA4B28" w:rsidRDefault="00EF1143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总价</w:t>
            </w:r>
          </w:p>
        </w:tc>
      </w:tr>
      <w:tr w:rsidR="00BA4B28" w14:paraId="1D3BB016" w14:textId="77777777">
        <w:tc>
          <w:tcPr>
            <w:tcW w:w="704" w:type="dxa"/>
            <w:vAlign w:val="center"/>
          </w:tcPr>
          <w:p w14:paraId="4D79A075" w14:textId="77777777" w:rsidR="00BA4B28" w:rsidRDefault="00EF114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33873A9" w14:textId="77777777" w:rsidR="00BA4B28" w:rsidRDefault="00EF1143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核心交换机</w:t>
            </w:r>
          </w:p>
        </w:tc>
        <w:tc>
          <w:tcPr>
            <w:tcW w:w="5245" w:type="dxa"/>
          </w:tcPr>
          <w:p w14:paraId="5A97E95C" w14:textId="77777777" w:rsidR="00BA4B28" w:rsidRDefault="00EF114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★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交换容量≥900Tbps，包转发率≥280000Mpps（若存在双项指标，以官网最小值为准）。。</w:t>
            </w:r>
          </w:p>
          <w:p w14:paraId="28D60BC0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★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主控槽位≥2个、业务板槽位数≥8个、交换网板槽位数≥5个。</w:t>
            </w:r>
          </w:p>
          <w:p w14:paraId="25D6A0A9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正交CLOS架构，</w:t>
            </w:r>
          </w:p>
          <w:p w14:paraId="327E8625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支持端口聚合</w:t>
            </w:r>
          </w:p>
          <w:p w14:paraId="0FBB3FF4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支持802.1d(STP)、802.1w(RSTP)、802.1s(MSTP)</w:t>
            </w:r>
          </w:p>
          <w:p w14:paraId="3412EC8F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支持动态链路聚合、静态端口聚合</w:t>
            </w:r>
          </w:p>
          <w:p w14:paraId="62EC8F8E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支持MAC/IP子网/协议/策略/端口的VLAN</w:t>
            </w:r>
          </w:p>
          <w:p w14:paraId="73D18791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支持静态路由、RIP、OSPF、IS-IS、BGP4等</w:t>
            </w:r>
          </w:p>
          <w:p w14:paraId="4A8EAAE3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支持等价路由</w:t>
            </w:r>
          </w:p>
          <w:p w14:paraId="19501477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支持策略路由</w:t>
            </w:r>
          </w:p>
          <w:p w14:paraId="1DC0109A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支持路由策略</w:t>
            </w:r>
          </w:p>
          <w:p w14:paraId="5BAF1572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支持IPv4和IPv6双协议栈</w:t>
            </w:r>
          </w:p>
          <w:p w14:paraId="12704A55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支持IPv6静态路由、RIPng、OSPFv3、IS-ISv6、BGP4+</w:t>
            </w:r>
          </w:p>
          <w:p w14:paraId="7978AA67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支持VRRPv3</w:t>
            </w:r>
          </w:p>
          <w:p w14:paraId="668A6F6B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支持Pingv6、Telnetv6、FTPv6、TFTPv6、DNSv6、ICMPv6</w:t>
            </w:r>
          </w:p>
          <w:p w14:paraId="1D47D16C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支持设备虚拟化技术，</w:t>
            </w:r>
          </w:p>
          <w:p w14:paraId="5A40D880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支持网络虚拟化，支持VxLAN ，</w:t>
            </w:r>
          </w:p>
          <w:p w14:paraId="4BD8F465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支持PIM-DM、PIM-SM、PIM-SSM、MSDP、MBGP、Any-RP等路由协议，</w:t>
            </w:r>
          </w:p>
          <w:p w14:paraId="6265DAF7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支持IGMP V1/V2/V3、IGMP V1/V2/V3 Snooping</w:t>
            </w:r>
          </w:p>
          <w:p w14:paraId="4FE3D14D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支持PIM6-DM、PIM6-SM、PIM6-SSM</w:t>
            </w:r>
          </w:p>
          <w:p w14:paraId="343BFA4D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支持MLD V1/V2、MLD V1/V2 Snooping</w:t>
            </w:r>
          </w:p>
          <w:p w14:paraId="0D1E6327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支持L3 MPLS VPN，支持L2 VPN</w:t>
            </w:r>
          </w:p>
          <w:p w14:paraId="3C16E6C5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支持Console口登录</w:t>
            </w:r>
          </w:p>
          <w:p w14:paraId="1F1E9286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支持Portal认证</w:t>
            </w:r>
          </w:p>
          <w:p w14:paraId="638753D1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支持MAC认证</w:t>
            </w:r>
          </w:p>
          <w:p w14:paraId="3F6550F6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支持IEEE 802.1x</w:t>
            </w:r>
          </w:p>
          <w:p w14:paraId="1D2410AB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支持AAA/Radius</w:t>
            </w:r>
          </w:p>
          <w:p w14:paraId="3B2EB990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交换机各组件均支持热插拔功能</w:t>
            </w:r>
          </w:p>
          <w:p w14:paraId="45CAF5BA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支持告警、事件、历史记录</w:t>
            </w:r>
          </w:p>
          <w:p w14:paraId="08C4B505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★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本次配置主控板≥2块，交换网板≥4块，电源模块≥4个，千兆电口≥72个，万兆电口≥24个，千兆光口≥20个，万兆光口≥52个，万兆单模光模块≥36个， 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lastRenderedPageBreak/>
              <w:t>10G堆叠线缆≥2根。</w:t>
            </w:r>
          </w:p>
          <w:p w14:paraId="6FEE268F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▲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要求能与现有网络核心交换机实现双机虚拟化部署,保证全院业务稳定运行。</w:t>
            </w:r>
          </w:p>
          <w:p w14:paraId="442990D4" w14:textId="77777777" w:rsidR="00BA4B28" w:rsidRDefault="00EF1143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▲所投产品要求提供不低于三年原厂保修服务</w:t>
            </w: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；</w:t>
            </w:r>
          </w:p>
        </w:tc>
        <w:tc>
          <w:tcPr>
            <w:tcW w:w="905" w:type="dxa"/>
            <w:vAlign w:val="center"/>
          </w:tcPr>
          <w:p w14:paraId="2319D911" w14:textId="77777777" w:rsidR="00BA4B28" w:rsidRDefault="00EF1143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lastRenderedPageBreak/>
              <w:t>450000</w:t>
            </w:r>
          </w:p>
        </w:tc>
        <w:tc>
          <w:tcPr>
            <w:tcW w:w="818" w:type="dxa"/>
            <w:vAlign w:val="center"/>
          </w:tcPr>
          <w:p w14:paraId="3298EEF1" w14:textId="77777777" w:rsidR="00BA4B28" w:rsidRDefault="00EF1143" w:rsidP="008B521E">
            <w:pPr>
              <w:ind w:firstLineChars="100" w:firstLine="211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1</w:t>
            </w:r>
          </w:p>
        </w:tc>
        <w:tc>
          <w:tcPr>
            <w:tcW w:w="829" w:type="dxa"/>
            <w:vAlign w:val="center"/>
          </w:tcPr>
          <w:p w14:paraId="5D7C65EE" w14:textId="77777777" w:rsidR="00BA4B28" w:rsidRDefault="00EF1143">
            <w:pPr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450000</w:t>
            </w:r>
          </w:p>
        </w:tc>
      </w:tr>
    </w:tbl>
    <w:p w14:paraId="083B795B" w14:textId="77777777" w:rsidR="00BA4B28" w:rsidRDefault="00BA4B28">
      <w:pPr>
        <w:jc w:val="left"/>
        <w:rPr>
          <w:rFonts w:ascii="宋体" w:eastAsia="宋体" w:hAnsi="宋体"/>
          <w:bCs/>
          <w:sz w:val="24"/>
          <w:szCs w:val="24"/>
        </w:rPr>
      </w:pPr>
    </w:p>
    <w:p w14:paraId="6CEC57B3" w14:textId="77777777" w:rsidR="00BA4B28" w:rsidRDefault="00BA4B28">
      <w:pPr>
        <w:jc w:val="left"/>
        <w:rPr>
          <w:rFonts w:ascii="宋体" w:eastAsia="宋体" w:hAnsi="宋体"/>
          <w:bCs/>
          <w:sz w:val="24"/>
          <w:szCs w:val="24"/>
        </w:rPr>
      </w:pPr>
    </w:p>
    <w:p w14:paraId="54D4987C" w14:textId="77777777" w:rsidR="00BA4B28" w:rsidRDefault="00EF1143">
      <w:pPr>
        <w:numPr>
          <w:ilvl w:val="0"/>
          <w:numId w:val="1"/>
        </w:numPr>
        <w:rPr>
          <w:szCs w:val="21"/>
        </w:rPr>
      </w:pPr>
      <w:r>
        <w:rPr>
          <w:rFonts w:ascii="宋体" w:hAnsi="宋体" w:hint="eastAsia"/>
        </w:rPr>
        <w:t>服务要求</w:t>
      </w:r>
    </w:p>
    <w:p w14:paraId="66F1BDB7" w14:textId="77777777" w:rsidR="00BA4B28" w:rsidRDefault="00EF1143">
      <w:pPr>
        <w:spacing w:line="400" w:lineRule="exact"/>
        <w:ind w:firstLineChars="200" w:firstLine="42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1、文档交付：须提交完整可行的技术方案、实施方案、测试报告、验收文档等。</w:t>
      </w:r>
    </w:p>
    <w:p w14:paraId="6CCBE723" w14:textId="77777777" w:rsidR="00BA4B28" w:rsidRDefault="00EF1143">
      <w:pPr>
        <w:spacing w:line="400" w:lineRule="exact"/>
        <w:ind w:firstLineChars="200" w:firstLine="42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2、技术支持：须提供7X24小时技术咨询服务，接到电话后2小时响应，24小时内到达现场。</w:t>
      </w:r>
    </w:p>
    <w:p w14:paraId="180BAFAF" w14:textId="77777777" w:rsidR="00BA4B28" w:rsidRDefault="00EF1143">
      <w:pPr>
        <w:spacing w:line="400" w:lineRule="exact"/>
        <w:ind w:firstLineChars="200" w:firstLine="42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3、安装调试：要求至少安排1名所投产品厂家认证高级工程师提供上门安装调试服务，服务包括但不限于交换机上架安装和配置、原有核心交换机虚拟化部署配置以及测试、免费提供与本次交换机割接相关其它硬件设备（服务器、防火墙、交换机等）调整的技术实施服务及辅材。</w:t>
      </w:r>
    </w:p>
    <w:p w14:paraId="26DCDE7F" w14:textId="77777777" w:rsidR="00BA4B28" w:rsidRDefault="00EF1143">
      <w:pPr>
        <w:spacing w:line="400" w:lineRule="exact"/>
        <w:ind w:firstLineChars="200" w:firstLine="42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4、培训服务：包括但不限于提供现场培训服务,提供相关培训资料等。</w:t>
      </w:r>
    </w:p>
    <w:p w14:paraId="3AAD3762" w14:textId="77777777" w:rsidR="00BA4B28" w:rsidRDefault="00EF1143">
      <w:pPr>
        <w:spacing w:line="400" w:lineRule="exact"/>
        <w:ind w:firstLineChars="200" w:firstLine="420"/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5、售后服务：要求中标商签订合同前提供三年原厂售后服务承诺函项目，验收合格后提供不低于三年集成商技术服务。</w:t>
      </w:r>
    </w:p>
    <w:p w14:paraId="5D2A5DC2" w14:textId="77777777" w:rsidR="00BA4B28" w:rsidRDefault="00BA4B28">
      <w:pPr>
        <w:rPr>
          <w:rFonts w:ascii="Calibri" w:eastAsia="宋体" w:hAnsi="Calibri"/>
        </w:rPr>
      </w:pPr>
    </w:p>
    <w:p w14:paraId="46DF9DE7" w14:textId="77777777" w:rsidR="00BA4B28" w:rsidRDefault="00EF1143">
      <w:pPr>
        <w:numPr>
          <w:ilvl w:val="0"/>
          <w:numId w:val="1"/>
        </w:numPr>
      </w:pPr>
      <w:r>
        <w:rPr>
          <w:rFonts w:ascii="宋体" w:hAnsi="宋体" w:hint="eastAsia"/>
        </w:rPr>
        <w:t>商务资质</w:t>
      </w:r>
    </w:p>
    <w:p w14:paraId="3C742B1C" w14:textId="77777777" w:rsidR="00BA4B28" w:rsidRDefault="00EF1143">
      <w:pPr>
        <w:ind w:left="21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供应商需具有ISO20000信息技术服务管理体系认证、ISO27001信息安全管理体系认证、ISO9001质量管理体系认证；</w:t>
      </w:r>
    </w:p>
    <w:p w14:paraId="2ACDD61E" w14:textId="77777777" w:rsidR="00BA4B28" w:rsidRDefault="00EF1143">
      <w:pPr>
        <w:ind w:left="21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参考型号：H</w:t>
      </w:r>
      <w:r>
        <w:rPr>
          <w:rFonts w:ascii="仿宋" w:eastAsia="仿宋" w:hAnsi="仿宋"/>
        </w:rPr>
        <w:t>3C S10510X,</w:t>
      </w:r>
      <w:r>
        <w:rPr>
          <w:rFonts w:ascii="仿宋" w:eastAsia="仿宋" w:hAnsi="仿宋" w:hint="eastAsia"/>
        </w:rPr>
        <w:t>华为</w:t>
      </w:r>
      <w:r>
        <w:rPr>
          <w:rFonts w:ascii="仿宋" w:eastAsia="仿宋" w:hAnsi="仿宋"/>
        </w:rPr>
        <w:t>CloudEngine 16808</w:t>
      </w:r>
      <w:r>
        <w:rPr>
          <w:rFonts w:ascii="仿宋" w:eastAsia="仿宋" w:hAnsi="仿宋" w:hint="eastAsia"/>
        </w:rPr>
        <w:t>，锐捷</w:t>
      </w:r>
      <w:r>
        <w:rPr>
          <w:rFonts w:ascii="仿宋" w:eastAsia="仿宋" w:hAnsi="仿宋"/>
        </w:rPr>
        <w:t>RG-N18014-E</w:t>
      </w:r>
    </w:p>
    <w:p w14:paraId="23005E86" w14:textId="77777777" w:rsidR="003E29CC" w:rsidRDefault="003E29CC">
      <w:pPr>
        <w:ind w:left="210"/>
        <w:rPr>
          <w:rFonts w:ascii="仿宋" w:eastAsia="仿宋" w:hAnsi="仿宋"/>
        </w:rPr>
      </w:pPr>
    </w:p>
    <w:p w14:paraId="60370CCD" w14:textId="77777777" w:rsidR="003E29CC" w:rsidRDefault="003E29CC">
      <w:pPr>
        <w:ind w:left="210"/>
        <w:rPr>
          <w:rFonts w:ascii="仿宋" w:eastAsia="仿宋" w:hAnsi="仿宋"/>
        </w:rPr>
      </w:pPr>
    </w:p>
    <w:p w14:paraId="3AF2F14F" w14:textId="77777777" w:rsidR="003E29CC" w:rsidRDefault="003E29CC">
      <w:pPr>
        <w:ind w:left="210"/>
        <w:rPr>
          <w:rFonts w:ascii="仿宋" w:eastAsia="仿宋" w:hAnsi="仿宋"/>
        </w:rPr>
      </w:pPr>
    </w:p>
    <w:p w14:paraId="15203F90" w14:textId="77777777" w:rsidR="003E29CC" w:rsidRDefault="003E29CC">
      <w:pPr>
        <w:ind w:left="210"/>
        <w:rPr>
          <w:rFonts w:ascii="仿宋" w:eastAsia="仿宋" w:hAnsi="仿宋"/>
        </w:rPr>
      </w:pPr>
    </w:p>
    <w:p w14:paraId="11334551" w14:textId="77777777" w:rsidR="003E29CC" w:rsidRDefault="003E29CC">
      <w:pPr>
        <w:ind w:left="210"/>
        <w:rPr>
          <w:rFonts w:ascii="仿宋" w:eastAsia="仿宋" w:hAnsi="仿宋"/>
        </w:rPr>
      </w:pPr>
    </w:p>
    <w:p w14:paraId="76F6EB45" w14:textId="77777777" w:rsidR="003E29CC" w:rsidRDefault="003E29CC">
      <w:pPr>
        <w:ind w:left="210"/>
        <w:rPr>
          <w:rFonts w:ascii="仿宋" w:eastAsia="仿宋" w:hAnsi="仿宋"/>
        </w:rPr>
      </w:pPr>
    </w:p>
    <w:p w14:paraId="79ACB4C4" w14:textId="77777777" w:rsidR="003E29CC" w:rsidRDefault="003E29CC">
      <w:pPr>
        <w:ind w:left="210"/>
        <w:rPr>
          <w:rFonts w:ascii="仿宋" w:eastAsia="仿宋" w:hAnsi="仿宋"/>
        </w:rPr>
      </w:pPr>
    </w:p>
    <w:p w14:paraId="719FC966" w14:textId="77777777" w:rsidR="003E29CC" w:rsidRDefault="003E29CC">
      <w:pPr>
        <w:ind w:left="210"/>
        <w:rPr>
          <w:rFonts w:ascii="仿宋" w:eastAsia="仿宋" w:hAnsi="仿宋"/>
        </w:rPr>
      </w:pPr>
    </w:p>
    <w:p w14:paraId="19FE342F" w14:textId="77777777" w:rsidR="003E29CC" w:rsidRDefault="003E29CC">
      <w:pPr>
        <w:ind w:left="210"/>
        <w:rPr>
          <w:rFonts w:ascii="仿宋" w:eastAsia="仿宋" w:hAnsi="仿宋"/>
        </w:rPr>
      </w:pPr>
    </w:p>
    <w:p w14:paraId="4824B8BB" w14:textId="77777777" w:rsidR="003E29CC" w:rsidRDefault="003E29CC">
      <w:pPr>
        <w:ind w:left="210"/>
        <w:rPr>
          <w:rFonts w:ascii="仿宋" w:eastAsia="仿宋" w:hAnsi="仿宋"/>
        </w:rPr>
      </w:pPr>
    </w:p>
    <w:p w14:paraId="43CFA69D" w14:textId="77777777" w:rsidR="003E29CC" w:rsidRDefault="003E29CC">
      <w:pPr>
        <w:ind w:left="210"/>
        <w:rPr>
          <w:rFonts w:ascii="仿宋" w:eastAsia="仿宋" w:hAnsi="仿宋"/>
        </w:rPr>
      </w:pPr>
    </w:p>
    <w:p w14:paraId="1037B638" w14:textId="77777777" w:rsidR="003E29CC" w:rsidRDefault="003E29CC">
      <w:pPr>
        <w:ind w:left="210"/>
        <w:rPr>
          <w:rFonts w:ascii="仿宋" w:eastAsia="仿宋" w:hAnsi="仿宋"/>
        </w:rPr>
      </w:pPr>
    </w:p>
    <w:p w14:paraId="44564C5F" w14:textId="77777777" w:rsidR="003E29CC" w:rsidRDefault="003E29CC">
      <w:pPr>
        <w:ind w:left="210"/>
        <w:rPr>
          <w:rFonts w:ascii="仿宋" w:eastAsia="仿宋" w:hAnsi="仿宋"/>
        </w:rPr>
      </w:pPr>
    </w:p>
    <w:p w14:paraId="3DBCC409" w14:textId="77777777" w:rsidR="003E29CC" w:rsidRDefault="003E29CC">
      <w:pPr>
        <w:ind w:left="210"/>
        <w:rPr>
          <w:rFonts w:ascii="仿宋" w:eastAsia="仿宋" w:hAnsi="仿宋"/>
        </w:rPr>
      </w:pPr>
    </w:p>
    <w:p w14:paraId="0DB959DA" w14:textId="77777777" w:rsidR="003E29CC" w:rsidRDefault="003E29CC">
      <w:pPr>
        <w:ind w:left="210"/>
        <w:rPr>
          <w:rFonts w:ascii="仿宋" w:eastAsia="仿宋" w:hAnsi="仿宋"/>
        </w:rPr>
      </w:pPr>
    </w:p>
    <w:p w14:paraId="1AB8A5BD" w14:textId="77777777" w:rsidR="003E29CC" w:rsidRDefault="003E29CC">
      <w:pPr>
        <w:ind w:left="210"/>
        <w:rPr>
          <w:rFonts w:ascii="仿宋" w:eastAsia="仿宋" w:hAnsi="仿宋"/>
        </w:rPr>
      </w:pPr>
    </w:p>
    <w:p w14:paraId="38BAF736" w14:textId="77777777" w:rsidR="003E29CC" w:rsidRDefault="003E29CC">
      <w:pPr>
        <w:ind w:left="210"/>
        <w:rPr>
          <w:rFonts w:ascii="仿宋" w:eastAsia="仿宋" w:hAnsi="仿宋"/>
        </w:rPr>
      </w:pPr>
    </w:p>
    <w:p w14:paraId="77AAAB41" w14:textId="77777777" w:rsidR="003E29CC" w:rsidRDefault="003E29CC">
      <w:pPr>
        <w:ind w:left="210"/>
        <w:rPr>
          <w:rFonts w:ascii="仿宋" w:eastAsia="仿宋" w:hAnsi="仿宋"/>
        </w:rPr>
      </w:pPr>
    </w:p>
    <w:p w14:paraId="6978D83E" w14:textId="77777777" w:rsidR="003E29CC" w:rsidRDefault="003E29CC">
      <w:pPr>
        <w:ind w:left="210"/>
        <w:rPr>
          <w:rFonts w:ascii="仿宋" w:eastAsia="仿宋" w:hAnsi="仿宋"/>
        </w:rPr>
      </w:pPr>
    </w:p>
    <w:p w14:paraId="5C0CB7A3" w14:textId="453865C1" w:rsidR="003E29CC" w:rsidRPr="003E29CC" w:rsidRDefault="003E29CC" w:rsidP="003E29CC">
      <w:pPr>
        <w:rPr>
          <w:rFonts w:ascii="Calibri" w:eastAsia="宋体" w:hAnsi="Calibri" w:cs="Times New Roman"/>
        </w:rPr>
      </w:pPr>
      <w:r w:rsidRPr="003E29CC">
        <w:rPr>
          <w:rFonts w:ascii="Calibri" w:eastAsia="宋体" w:hAnsi="Calibri" w:cs="Times New Roman" w:hint="eastAsia"/>
        </w:rPr>
        <w:lastRenderedPageBreak/>
        <w:t>示例：技术响应偏离表（仅供参考）</w:t>
      </w:r>
    </w:p>
    <w:p w14:paraId="6329C35D" w14:textId="5438BCF2" w:rsidR="007434C8" w:rsidRDefault="007434C8">
      <w:pPr>
        <w:ind w:left="210"/>
        <w:rPr>
          <w:rFonts w:ascii="宋体" w:eastAsia="宋体" w:hAnsi="宋体"/>
          <w:b/>
          <w:sz w:val="28"/>
          <w:szCs w:val="28"/>
        </w:rPr>
      </w:pPr>
      <w:r>
        <w:rPr>
          <w:rFonts w:hint="eastAsia"/>
          <w:noProof/>
        </w:rPr>
        <w:drawing>
          <wp:inline distT="0" distB="0" distL="114300" distR="114300" wp14:anchorId="1FB57AEA" wp14:editId="17A35221">
            <wp:extent cx="5274310" cy="3995185"/>
            <wp:effectExtent l="0" t="0" r="2540" b="5715"/>
            <wp:docPr id="1" name="图片 1" descr="截图_20231129174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_202311291745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3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49693" w14:textId="77777777" w:rsidR="00E40A83" w:rsidRDefault="00E40A83" w:rsidP="00165143">
      <w:r>
        <w:separator/>
      </w:r>
    </w:p>
  </w:endnote>
  <w:endnote w:type="continuationSeparator" w:id="0">
    <w:p w14:paraId="3FD30199" w14:textId="77777777" w:rsidR="00E40A83" w:rsidRDefault="00E40A83" w:rsidP="0016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51DC4" w14:textId="77777777" w:rsidR="00E40A83" w:rsidRDefault="00E40A83" w:rsidP="00165143">
      <w:r>
        <w:separator/>
      </w:r>
    </w:p>
  </w:footnote>
  <w:footnote w:type="continuationSeparator" w:id="0">
    <w:p w14:paraId="0179B7AD" w14:textId="77777777" w:rsidR="00E40A83" w:rsidRDefault="00E40A83" w:rsidP="00165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276AA4"/>
    <w:multiLevelType w:val="singleLevel"/>
    <w:tmpl w:val="BB276AA4"/>
    <w:lvl w:ilvl="0">
      <w:start w:val="1"/>
      <w:numFmt w:val="decimal"/>
      <w:suff w:val="nothing"/>
      <w:lvlText w:val="%1、"/>
      <w:lvlJc w:val="left"/>
    </w:lvl>
  </w:abstractNum>
  <w:abstractNum w:abstractNumId="1">
    <w:nsid w:val="01AB19C5"/>
    <w:multiLevelType w:val="multilevel"/>
    <w:tmpl w:val="01AB19C5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NzU3M2Q1Y2E5ZDllYTdmOTA1ODRlN2RjZGJmMzMifQ=="/>
  </w:docVars>
  <w:rsids>
    <w:rsidRoot w:val="00A67B68"/>
    <w:rsid w:val="00004B1D"/>
    <w:rsid w:val="00055173"/>
    <w:rsid w:val="00084198"/>
    <w:rsid w:val="000A0F0A"/>
    <w:rsid w:val="000B48F2"/>
    <w:rsid w:val="00164B2A"/>
    <w:rsid w:val="00165143"/>
    <w:rsid w:val="00171D14"/>
    <w:rsid w:val="001B5F8F"/>
    <w:rsid w:val="0021539F"/>
    <w:rsid w:val="00216D70"/>
    <w:rsid w:val="00225D2D"/>
    <w:rsid w:val="0023527A"/>
    <w:rsid w:val="00236C82"/>
    <w:rsid w:val="00266493"/>
    <w:rsid w:val="002E4421"/>
    <w:rsid w:val="00300D50"/>
    <w:rsid w:val="003333BF"/>
    <w:rsid w:val="00357452"/>
    <w:rsid w:val="00364D95"/>
    <w:rsid w:val="00391901"/>
    <w:rsid w:val="003D5070"/>
    <w:rsid w:val="003E29CC"/>
    <w:rsid w:val="003F7DA4"/>
    <w:rsid w:val="004B6139"/>
    <w:rsid w:val="005408A2"/>
    <w:rsid w:val="00541EE4"/>
    <w:rsid w:val="00542327"/>
    <w:rsid w:val="0056683B"/>
    <w:rsid w:val="005C5669"/>
    <w:rsid w:val="005D5E1F"/>
    <w:rsid w:val="005F23F1"/>
    <w:rsid w:val="00653D31"/>
    <w:rsid w:val="006B0EBA"/>
    <w:rsid w:val="006B35A7"/>
    <w:rsid w:val="006E78C8"/>
    <w:rsid w:val="006F07E3"/>
    <w:rsid w:val="006F0B91"/>
    <w:rsid w:val="007248B7"/>
    <w:rsid w:val="007434C8"/>
    <w:rsid w:val="00764078"/>
    <w:rsid w:val="007D2031"/>
    <w:rsid w:val="007E1714"/>
    <w:rsid w:val="00807349"/>
    <w:rsid w:val="0082524B"/>
    <w:rsid w:val="00827404"/>
    <w:rsid w:val="008661EF"/>
    <w:rsid w:val="008978AB"/>
    <w:rsid w:val="008B521E"/>
    <w:rsid w:val="008C416F"/>
    <w:rsid w:val="009006E7"/>
    <w:rsid w:val="00901258"/>
    <w:rsid w:val="00901B48"/>
    <w:rsid w:val="00942433"/>
    <w:rsid w:val="009506FD"/>
    <w:rsid w:val="00953C8E"/>
    <w:rsid w:val="00956BEB"/>
    <w:rsid w:val="009A2EF6"/>
    <w:rsid w:val="009D3942"/>
    <w:rsid w:val="009E49B0"/>
    <w:rsid w:val="00A41E69"/>
    <w:rsid w:val="00A67B68"/>
    <w:rsid w:val="00AA4F12"/>
    <w:rsid w:val="00AC15F9"/>
    <w:rsid w:val="00B125B9"/>
    <w:rsid w:val="00B2492D"/>
    <w:rsid w:val="00BA4B28"/>
    <w:rsid w:val="00C01390"/>
    <w:rsid w:val="00C2231A"/>
    <w:rsid w:val="00C277A4"/>
    <w:rsid w:val="00C52120"/>
    <w:rsid w:val="00C64FCE"/>
    <w:rsid w:val="00C960C0"/>
    <w:rsid w:val="00CB39C6"/>
    <w:rsid w:val="00CC179C"/>
    <w:rsid w:val="00D07FC0"/>
    <w:rsid w:val="00D26A8B"/>
    <w:rsid w:val="00D27AB5"/>
    <w:rsid w:val="00D46506"/>
    <w:rsid w:val="00D91CBF"/>
    <w:rsid w:val="00E12CC3"/>
    <w:rsid w:val="00E12E9D"/>
    <w:rsid w:val="00E158F5"/>
    <w:rsid w:val="00E40A83"/>
    <w:rsid w:val="00E6351E"/>
    <w:rsid w:val="00E77520"/>
    <w:rsid w:val="00E82880"/>
    <w:rsid w:val="00EB0B39"/>
    <w:rsid w:val="00ED1CD4"/>
    <w:rsid w:val="00ED71C8"/>
    <w:rsid w:val="00EF1143"/>
    <w:rsid w:val="00FB4035"/>
    <w:rsid w:val="00FD1DCF"/>
    <w:rsid w:val="079D271A"/>
    <w:rsid w:val="638D41C0"/>
    <w:rsid w:val="738C4B21"/>
    <w:rsid w:val="789E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A91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7434C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434C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7434C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434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xb21cn</cp:lastModifiedBy>
  <cp:revision>12</cp:revision>
  <cp:lastPrinted>2024-07-08T07:33:00Z</cp:lastPrinted>
  <dcterms:created xsi:type="dcterms:W3CDTF">2024-07-11T00:14:00Z</dcterms:created>
  <dcterms:modified xsi:type="dcterms:W3CDTF">2024-07-18T13:30:00Z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7A797FBE05E3470BA0DF2CB291DF6709_13</vt:lpwstr>
  </property>
</Properties>
</file>