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widowControl w:val="0"/>
        <w:kinsoku/>
        <w:wordWrap/>
        <w:overflowPunct/>
        <w:topLinePunct w:val="0"/>
        <w:autoSpaceDE/>
        <w:autoSpaceDN/>
        <w:bidi w:val="0"/>
        <w:adjustRightInd/>
        <w:snapToGrid/>
        <w:spacing w:before="0" w:after="0" w:line="240" w:lineRule="auto"/>
        <w:textAlignment w:val="auto"/>
        <w:rPr>
          <w:rFonts w:hint="eastAsia" w:eastAsia="宋体"/>
          <w:sz w:val="32"/>
          <w:szCs w:val="32"/>
        </w:rPr>
      </w:pPr>
      <w:r>
        <w:rPr>
          <w:rFonts w:hint="eastAsia"/>
          <w:sz w:val="32"/>
          <w:szCs w:val="32"/>
          <w:lang w:val="en-US" w:eastAsia="zh-CN"/>
        </w:rPr>
        <w:t>参选</w:t>
      </w:r>
      <w:r>
        <w:rPr>
          <w:rFonts w:hint="eastAsia" w:eastAsia="宋体"/>
          <w:sz w:val="32"/>
          <w:szCs w:val="32"/>
        </w:rPr>
        <w:t xml:space="preserve">人资格要求 </w:t>
      </w:r>
    </w:p>
    <w:p>
      <w:pPr>
        <w:bidi w:val="0"/>
        <w:spacing w:line="360" w:lineRule="auto"/>
        <w:jc w:val="left"/>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cs="宋体"/>
          <w:sz w:val="21"/>
          <w:szCs w:val="21"/>
          <w:lang w:val="en-US" w:eastAsia="zh-CN"/>
        </w:rPr>
        <w:t>参选</w:t>
      </w:r>
      <w:r>
        <w:rPr>
          <w:rFonts w:hint="eastAsia" w:ascii="宋体" w:hAnsi="宋体" w:eastAsia="宋体" w:cs="宋体"/>
          <w:sz w:val="21"/>
          <w:szCs w:val="21"/>
        </w:rPr>
        <w:t>人基本资格条件:</w:t>
      </w:r>
    </w:p>
    <w:p>
      <w:pPr>
        <w:bidi w:val="0"/>
        <w:spacing w:line="360" w:lineRule="auto"/>
        <w:jc w:val="left"/>
        <w:rPr>
          <w:rFonts w:hint="eastAsia" w:ascii="宋体" w:hAnsi="宋体" w:eastAsia="宋体" w:cs="宋体"/>
          <w:sz w:val="21"/>
          <w:szCs w:val="21"/>
          <w:lang w:eastAsia="zh-CN"/>
        </w:rPr>
      </w:pPr>
      <w:r>
        <w:rPr>
          <w:rFonts w:hint="eastAsia" w:ascii="宋体" w:hAnsi="宋体" w:eastAsia="宋体" w:cs="宋体"/>
          <w:sz w:val="21"/>
          <w:szCs w:val="21"/>
        </w:rPr>
        <w:t>投标人法人营业执照副本复印件或合伙企业营业执照副本或事业单位法人证书复印件或自然人身份证明复印件</w:t>
      </w:r>
      <w:r>
        <w:rPr>
          <w:rFonts w:hint="eastAsia" w:ascii="宋体" w:hAnsi="宋体" w:eastAsia="宋体" w:cs="宋体"/>
          <w:sz w:val="21"/>
          <w:szCs w:val="21"/>
          <w:lang w:eastAsia="zh-CN"/>
        </w:rPr>
        <w:t>。</w:t>
      </w:r>
    </w:p>
    <w:p>
      <w:pPr>
        <w:bidi w:val="0"/>
        <w:spacing w:line="360" w:lineRule="auto"/>
        <w:jc w:val="left"/>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cs="宋体"/>
          <w:sz w:val="21"/>
          <w:szCs w:val="21"/>
          <w:lang w:val="en-US" w:eastAsia="zh-CN"/>
        </w:rPr>
        <w:t>参选</w:t>
      </w:r>
      <w:r>
        <w:rPr>
          <w:rFonts w:hint="eastAsia" w:ascii="宋体" w:hAnsi="宋体" w:eastAsia="宋体" w:cs="宋体"/>
          <w:sz w:val="21"/>
          <w:szCs w:val="21"/>
        </w:rPr>
        <w:t>人特定资格要求:</w:t>
      </w:r>
    </w:p>
    <w:p>
      <w:pPr>
        <w:bidi w:val="0"/>
        <w:spacing w:line="360" w:lineRule="auto"/>
        <w:jc w:val="left"/>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如</w:t>
      </w:r>
      <w:r>
        <w:rPr>
          <w:rFonts w:hint="eastAsia" w:ascii="宋体" w:hAnsi="宋体" w:cs="宋体"/>
          <w:sz w:val="21"/>
          <w:szCs w:val="21"/>
          <w:lang w:val="en-US" w:eastAsia="zh-CN"/>
        </w:rPr>
        <w:t>参选</w:t>
      </w:r>
      <w:r>
        <w:rPr>
          <w:rFonts w:hint="eastAsia" w:ascii="宋体" w:hAnsi="宋体" w:eastAsia="宋体" w:cs="宋体"/>
          <w:sz w:val="21"/>
          <w:szCs w:val="21"/>
        </w:rPr>
        <w:t>人为电梯制造商则须满足如下条件（提供相关证明材料复印件）：具有相关行政主管部门颁发的《中华人民共和国特种设备生产许可证》（电梯制造（含安装、修理、改造））</w:t>
      </w:r>
      <w:r>
        <w:rPr>
          <w:rFonts w:hint="eastAsia" w:ascii="宋体" w:hAnsi="宋体" w:eastAsia="宋体" w:cs="宋体"/>
          <w:sz w:val="21"/>
          <w:szCs w:val="21"/>
          <w:lang w:val="en-US" w:eastAsia="zh-CN"/>
        </w:rPr>
        <w:t>杂物</w:t>
      </w:r>
      <w:r>
        <w:rPr>
          <w:rFonts w:hint="eastAsia" w:ascii="宋体" w:hAnsi="宋体" w:eastAsia="宋体" w:cs="宋体"/>
          <w:sz w:val="21"/>
          <w:szCs w:val="21"/>
        </w:rPr>
        <w:t>电梯（含</w:t>
      </w:r>
      <w:r>
        <w:rPr>
          <w:rFonts w:hint="eastAsia" w:ascii="宋体" w:hAnsi="宋体" w:eastAsia="宋体" w:cs="宋体"/>
          <w:sz w:val="21"/>
          <w:szCs w:val="21"/>
          <w:lang w:val="en-US" w:eastAsia="zh-CN"/>
        </w:rPr>
        <w:t>防爆电梯中的杂物电梯</w:t>
      </w:r>
      <w:r>
        <w:rPr>
          <w:rFonts w:hint="eastAsia" w:ascii="宋体" w:hAnsi="宋体" w:eastAsia="宋体" w:cs="宋体"/>
          <w:sz w:val="21"/>
          <w:szCs w:val="21"/>
        </w:rPr>
        <w:t>）资质，证书须处于有效期内。</w:t>
      </w:r>
    </w:p>
    <w:p>
      <w:pPr>
        <w:bidi w:val="0"/>
        <w:spacing w:line="360" w:lineRule="auto"/>
        <w:jc w:val="left"/>
        <w:rPr>
          <w:rFonts w:hint="eastAsia" w:ascii="宋体" w:hAnsi="宋体" w:eastAsia="宋体" w:cs="宋体"/>
          <w:sz w:val="21"/>
          <w:szCs w:val="21"/>
        </w:rPr>
      </w:pPr>
      <w:r>
        <w:rPr>
          <w:rFonts w:hint="eastAsia" w:ascii="宋体" w:hAnsi="宋体" w:eastAsia="宋体" w:cs="宋体"/>
          <w:sz w:val="21"/>
          <w:szCs w:val="21"/>
        </w:rPr>
        <w:t>2 、如</w:t>
      </w:r>
      <w:r>
        <w:rPr>
          <w:rFonts w:hint="eastAsia" w:ascii="宋体" w:hAnsi="宋体" w:cs="宋体"/>
          <w:sz w:val="21"/>
          <w:szCs w:val="21"/>
          <w:lang w:val="en-US" w:eastAsia="zh-CN"/>
        </w:rPr>
        <w:t>参选</w:t>
      </w:r>
      <w:r>
        <w:rPr>
          <w:rFonts w:hint="eastAsia" w:ascii="宋体" w:hAnsi="宋体" w:eastAsia="宋体" w:cs="宋体"/>
          <w:sz w:val="21"/>
          <w:szCs w:val="21"/>
        </w:rPr>
        <w:t>人为电梯代理商则须满足如下条件（提供相关证明材料复印件）：2.1提供电梯制造商的《中华人民共和国特种设备生产许可证》（电梯制造（含安装、修理、改造））</w:t>
      </w:r>
      <w:r>
        <w:rPr>
          <w:rFonts w:hint="eastAsia" w:ascii="宋体" w:hAnsi="宋体" w:eastAsia="宋体" w:cs="宋体"/>
          <w:sz w:val="21"/>
          <w:szCs w:val="21"/>
          <w:lang w:val="en-US" w:eastAsia="zh-CN"/>
        </w:rPr>
        <w:t>杂物</w:t>
      </w:r>
      <w:r>
        <w:rPr>
          <w:rFonts w:hint="eastAsia" w:ascii="宋体" w:hAnsi="宋体" w:eastAsia="宋体" w:cs="宋体"/>
          <w:sz w:val="21"/>
          <w:szCs w:val="21"/>
        </w:rPr>
        <w:t>电梯（含</w:t>
      </w:r>
      <w:r>
        <w:rPr>
          <w:rFonts w:hint="eastAsia" w:ascii="宋体" w:hAnsi="宋体" w:eastAsia="宋体" w:cs="宋体"/>
          <w:sz w:val="21"/>
          <w:szCs w:val="21"/>
          <w:lang w:val="en-US" w:eastAsia="zh-CN"/>
        </w:rPr>
        <w:t>防爆电梯中的杂物电梯</w:t>
      </w:r>
      <w:r>
        <w:rPr>
          <w:rFonts w:hint="eastAsia" w:ascii="宋体" w:hAnsi="宋体" w:eastAsia="宋体" w:cs="宋体"/>
          <w:sz w:val="21"/>
          <w:szCs w:val="21"/>
        </w:rPr>
        <w:t>）资质，证书须处于有效期内。 2.2 提供</w:t>
      </w:r>
      <w:r>
        <w:rPr>
          <w:rFonts w:hint="eastAsia" w:ascii="宋体" w:hAnsi="宋体" w:cs="宋体"/>
          <w:sz w:val="21"/>
          <w:szCs w:val="21"/>
          <w:lang w:val="en-US" w:eastAsia="zh-CN"/>
        </w:rPr>
        <w:t>参选</w:t>
      </w:r>
      <w:r>
        <w:rPr>
          <w:rFonts w:hint="eastAsia" w:ascii="宋体" w:hAnsi="宋体" w:eastAsia="宋体" w:cs="宋体"/>
          <w:sz w:val="21"/>
          <w:szCs w:val="21"/>
        </w:rPr>
        <w:t>人的相关行政主管部门颁发的《中华人民共和国特种设备生产许可证》</w:t>
      </w:r>
      <w:r>
        <w:rPr>
          <w:rFonts w:hint="eastAsia" w:ascii="宋体" w:hAnsi="宋体" w:eastAsia="宋体" w:cs="宋体"/>
          <w:sz w:val="21"/>
          <w:szCs w:val="21"/>
          <w:lang w:val="en-US" w:eastAsia="zh-CN"/>
        </w:rPr>
        <w:t>电梯安装（含修理）杂物</w:t>
      </w:r>
      <w:r>
        <w:rPr>
          <w:rFonts w:hint="eastAsia" w:ascii="宋体" w:hAnsi="宋体" w:eastAsia="宋体" w:cs="宋体"/>
          <w:sz w:val="21"/>
          <w:szCs w:val="21"/>
        </w:rPr>
        <w:t>电梯（</w:t>
      </w:r>
      <w:r>
        <w:rPr>
          <w:rFonts w:hint="eastAsia" w:ascii="宋体" w:hAnsi="宋体" w:eastAsia="宋体" w:cs="宋体"/>
          <w:sz w:val="21"/>
          <w:szCs w:val="21"/>
          <w:lang w:val="en-US" w:eastAsia="zh-CN"/>
        </w:rPr>
        <w:t>不</w:t>
      </w:r>
      <w:r>
        <w:rPr>
          <w:rFonts w:hint="eastAsia" w:ascii="宋体" w:hAnsi="宋体" w:eastAsia="宋体" w:cs="宋体"/>
          <w:sz w:val="21"/>
          <w:szCs w:val="21"/>
        </w:rPr>
        <w:t>含</w:t>
      </w:r>
      <w:r>
        <w:rPr>
          <w:rFonts w:hint="eastAsia" w:ascii="宋体" w:hAnsi="宋体" w:eastAsia="宋体" w:cs="宋体"/>
          <w:sz w:val="21"/>
          <w:szCs w:val="21"/>
          <w:lang w:val="en-US" w:eastAsia="zh-CN"/>
        </w:rPr>
        <w:t>防爆电梯中的杂物电梯</w:t>
      </w:r>
      <w:r>
        <w:rPr>
          <w:rFonts w:hint="eastAsia" w:ascii="宋体" w:hAnsi="宋体" w:eastAsia="宋体" w:cs="宋体"/>
          <w:sz w:val="21"/>
          <w:szCs w:val="21"/>
        </w:rPr>
        <w:t>）资质，证书须处于有效期内。</w:t>
      </w:r>
    </w:p>
    <w:p>
      <w:pPr>
        <w:numPr>
          <w:ilvl w:val="0"/>
          <w:numId w:val="0"/>
        </w:numPr>
        <w:bidi w:val="0"/>
        <w:spacing w:line="360" w:lineRule="auto"/>
        <w:jc w:val="left"/>
        <w:rPr>
          <w:rFonts w:hint="default" w:ascii="宋体" w:hAnsi="宋体" w:eastAsia="宋体" w:cs="宋体"/>
          <w:sz w:val="21"/>
          <w:szCs w:val="21"/>
          <w:lang w:val="en-US" w:eastAsia="zh-CN"/>
        </w:rPr>
      </w:pPr>
    </w:p>
    <w:p>
      <w:pPr/>
      <w:r>
        <w:br w:type="page"/>
      </w:r>
    </w:p>
    <w:p>
      <w:pPr>
        <w:pStyle w:val="4"/>
        <w:keepNext w:val="0"/>
        <w:keepLines w:val="0"/>
        <w:pageBreakBefore/>
        <w:widowControl w:val="0"/>
        <w:kinsoku/>
        <w:wordWrap/>
        <w:overflowPunct/>
        <w:topLinePunct w:val="0"/>
        <w:autoSpaceDE/>
        <w:autoSpaceDN/>
        <w:bidi w:val="0"/>
        <w:adjustRightInd/>
        <w:snapToGrid/>
        <w:spacing w:before="0" w:after="0" w:line="240" w:lineRule="auto"/>
        <w:textAlignment w:val="auto"/>
        <w:rPr>
          <w:rFonts w:hint="eastAsia"/>
          <w:sz w:val="32"/>
          <w:szCs w:val="32"/>
          <w:lang w:val="en-US" w:eastAsia="zh-CN"/>
        </w:rPr>
      </w:pPr>
      <w:bookmarkStart w:id="0" w:name="_Toc205300468"/>
      <w:r>
        <w:rPr>
          <w:rFonts w:hint="eastAsia"/>
          <w:sz w:val="32"/>
          <w:szCs w:val="32"/>
        </w:rPr>
        <w:t>产品规格</w:t>
      </w:r>
      <w:bookmarkEnd w:id="0"/>
      <w:r>
        <w:rPr>
          <w:rFonts w:hint="eastAsia"/>
          <w:sz w:val="32"/>
          <w:szCs w:val="32"/>
          <w:lang w:val="en-US" w:eastAsia="zh-CN"/>
        </w:rPr>
        <w:t>技术规格书</w:t>
      </w:r>
    </w:p>
    <w:p>
      <w:pPr>
        <w:rPr>
          <w:rFonts w:hint="default"/>
          <w:b/>
          <w:bCs/>
          <w:sz w:val="21"/>
          <w:szCs w:val="21"/>
          <w:lang w:val="en-US" w:eastAsia="zh-CN"/>
        </w:rPr>
      </w:pPr>
      <w:r>
        <w:rPr>
          <w:rFonts w:hint="eastAsia"/>
          <w:b/>
          <w:bCs/>
          <w:sz w:val="21"/>
          <w:szCs w:val="21"/>
          <w:lang w:val="en-US" w:eastAsia="zh-CN"/>
        </w:rPr>
        <w:t>一、技术参数</w:t>
      </w:r>
    </w:p>
    <w:p>
      <w:pPr>
        <w:widowControl/>
        <w:spacing w:line="360" w:lineRule="auto"/>
        <w:rPr>
          <w:rFonts w:hint="default" w:ascii="宋体" w:hAnsi="宋体" w:eastAsia="宋体" w:cs="宋体"/>
          <w:bCs/>
          <w:szCs w:val="21"/>
          <w:lang w:val="en-US" w:eastAsia="zh-CN"/>
        </w:rPr>
      </w:pPr>
      <w:r>
        <w:rPr>
          <w:rFonts w:hint="eastAsia" w:ascii="宋体" w:hAnsi="宋体" w:eastAsia="宋体" w:cs="宋体"/>
          <w:bCs/>
          <w:szCs w:val="21"/>
          <w:lang w:val="en-US" w:eastAsia="zh-CN"/>
        </w:rPr>
        <w:t>1、技术参数表：</w:t>
      </w:r>
    </w:p>
    <w:tbl>
      <w:tblPr>
        <w:tblStyle w:val="6"/>
        <w:tblW w:w="9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7"/>
        <w:gridCol w:w="7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0" w:hRule="atLeast"/>
        </w:trPr>
        <w:tc>
          <w:tcPr>
            <w:tcW w:w="9240" w:type="dxa"/>
            <w:gridSpan w:val="2"/>
            <w:shd w:val="clear" w:color="auto" w:fill="auto"/>
            <w:vAlign w:val="center"/>
          </w:tcPr>
          <w:p>
            <w:pPr>
              <w:adjustRightInd w:val="0"/>
              <w:snapToGrid w:val="0"/>
              <w:jc w:val="center"/>
              <w:rPr>
                <w:rFonts w:hint="eastAsia" w:ascii="宋体" w:hAnsi="宋体" w:cs="微软雅黑"/>
                <w:b/>
                <w:color w:val="000000"/>
                <w:sz w:val="28"/>
                <w:szCs w:val="21"/>
                <w:shd w:val="clear" w:color="auto" w:fill="FFFFFF"/>
              </w:rPr>
            </w:pPr>
            <w:bookmarkStart w:id="1" w:name="bjggcsb"/>
            <w:bookmarkEnd w:id="1"/>
            <w:r>
              <w:rPr>
                <w:rFonts w:ascii="宋体" w:hAnsi="宋体" w:cs="微软雅黑"/>
                <w:b/>
                <w:color w:val="000000"/>
                <w:sz w:val="28"/>
                <w:szCs w:val="21"/>
                <w:shd w:val="clear" w:color="auto" w:fill="FFFFFF"/>
              </w:rPr>
              <w:t>产品规格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trPr>
        <w:tc>
          <w:tcPr>
            <w:tcW w:w="1987" w:type="dxa"/>
            <w:vMerge w:val="restart"/>
            <w:shd w:val="clear" w:color="auto" w:fill="auto"/>
            <w:vAlign w:val="center"/>
          </w:tcPr>
          <w:p>
            <w:pPr>
              <w:adjustRightInd w:val="0"/>
              <w:snapToGrid w:val="0"/>
              <w:jc w:val="center"/>
              <w:rPr>
                <w:rFonts w:hint="eastAsia" w:ascii="宋体" w:hAnsi="宋体" w:cs="微软雅黑"/>
                <w:b/>
                <w:color w:val="000000"/>
                <w:szCs w:val="21"/>
                <w:shd w:val="clear" w:color="auto" w:fill="FFFFFF"/>
              </w:rPr>
            </w:pPr>
            <w:r>
              <w:rPr>
                <w:rFonts w:hint="eastAsia" w:ascii="宋体" w:hAnsi="宋体" w:eastAsia="宋体" w:cs="宋体"/>
                <w:b/>
                <w:color w:val="000000"/>
                <w:szCs w:val="21"/>
                <w:shd w:val="clear" w:color="auto" w:fill="FFFFFF"/>
              </w:rPr>
              <w:t>▲</w:t>
            </w:r>
            <w:r>
              <w:rPr>
                <w:rFonts w:hint="eastAsia" w:ascii="宋体" w:hAnsi="宋体" w:cs="微软雅黑"/>
                <w:b/>
                <w:color w:val="000000"/>
                <w:szCs w:val="21"/>
                <w:shd w:val="clear" w:color="auto" w:fill="FFFFFF"/>
              </w:rPr>
              <w:t>基本规格</w:t>
            </w:r>
          </w:p>
        </w:tc>
        <w:tc>
          <w:tcPr>
            <w:tcW w:w="7253" w:type="dxa"/>
            <w:shd w:val="clear" w:color="auto" w:fill="auto"/>
            <w:vAlign w:val="center"/>
          </w:tcPr>
          <w:p>
            <w:pPr>
              <w:adjustRightInd w:val="0"/>
              <w:snapToGrid w:val="0"/>
              <w:jc w:val="left"/>
              <w:rPr>
                <w:rFonts w:hint="eastAsia" w:ascii="宋体" w:hAnsi="宋体" w:eastAsia="宋体" w:cs="微软雅黑"/>
                <w:color w:val="000000"/>
                <w:kern w:val="2"/>
                <w:sz w:val="21"/>
                <w:szCs w:val="21"/>
                <w:shd w:val="clear" w:color="auto" w:fill="FFFFFF"/>
                <w:lang w:val="en-US" w:eastAsia="zh-CN" w:bidi="ar-SA"/>
              </w:rPr>
            </w:pPr>
            <w:r>
              <w:rPr>
                <w:rFonts w:hint="eastAsia" w:ascii="宋体" w:hAnsi="宋体" w:cs="微软雅黑"/>
                <w:color w:val="000000"/>
                <w:szCs w:val="21"/>
                <w:shd w:val="clear" w:color="auto" w:fill="FFFFFF"/>
              </w:rPr>
              <w:t>货物名称：杂物梯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trPr>
        <w:tc>
          <w:tcPr>
            <w:tcW w:w="1987" w:type="dxa"/>
            <w:vMerge w:val="continue"/>
            <w:shd w:val="clear" w:color="auto" w:fill="auto"/>
            <w:vAlign w:val="center"/>
          </w:tcPr>
          <w:p>
            <w:pPr>
              <w:adjustRightInd w:val="0"/>
              <w:snapToGrid w:val="0"/>
              <w:rPr>
                <w:rFonts w:hint="eastAsia" w:ascii="宋体" w:hAnsi="宋体" w:cs="微软雅黑"/>
                <w:color w:val="000000"/>
                <w:szCs w:val="21"/>
                <w:shd w:val="clear" w:color="auto" w:fill="FFFFFF"/>
              </w:rPr>
            </w:pPr>
          </w:p>
        </w:tc>
        <w:tc>
          <w:tcPr>
            <w:tcW w:w="7253" w:type="dxa"/>
            <w:shd w:val="clear" w:color="auto" w:fill="auto"/>
            <w:vAlign w:val="center"/>
          </w:tcPr>
          <w:p>
            <w:pPr>
              <w:adjustRightInd w:val="0"/>
              <w:snapToGrid w:val="0"/>
              <w:jc w:val="left"/>
              <w:rPr>
                <w:rFonts w:hint="eastAsia" w:ascii="宋体" w:hAnsi="宋体" w:eastAsia="宋体" w:cs="微软雅黑"/>
                <w:color w:val="000000"/>
                <w:kern w:val="2"/>
                <w:sz w:val="21"/>
                <w:szCs w:val="21"/>
                <w:shd w:val="clear" w:color="auto" w:fill="FFFFFF"/>
                <w:lang w:val="en-US" w:eastAsia="zh-CN" w:bidi="ar-SA"/>
              </w:rPr>
            </w:pPr>
            <w:r>
              <w:rPr>
                <w:rFonts w:hint="eastAsia" w:ascii="宋体" w:hAnsi="宋体" w:cs="微软雅黑"/>
                <w:color w:val="000000"/>
                <w:szCs w:val="21"/>
                <w:shd w:val="clear" w:color="auto" w:fill="FFFFFF"/>
              </w:rPr>
              <w:t>载重：</w:t>
            </w:r>
            <w:r>
              <w:rPr>
                <w:rFonts w:ascii="宋体" w:hAnsi="宋体" w:cs="微软雅黑"/>
                <w:color w:val="000000"/>
                <w:szCs w:val="21"/>
                <w:shd w:val="clear" w:color="auto" w:fill="FFFFFF"/>
              </w:rPr>
              <w:t>300kg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trPr>
        <w:tc>
          <w:tcPr>
            <w:tcW w:w="1987" w:type="dxa"/>
            <w:vMerge w:val="continue"/>
            <w:shd w:val="clear" w:color="auto" w:fill="auto"/>
            <w:vAlign w:val="center"/>
          </w:tcPr>
          <w:p>
            <w:pPr>
              <w:adjustRightInd w:val="0"/>
              <w:snapToGrid w:val="0"/>
              <w:rPr>
                <w:rFonts w:hint="eastAsia" w:ascii="宋体" w:hAnsi="宋体" w:cs="微软雅黑"/>
                <w:color w:val="000000"/>
                <w:szCs w:val="21"/>
                <w:shd w:val="clear" w:color="auto" w:fill="FFFFFF"/>
              </w:rPr>
            </w:pPr>
          </w:p>
        </w:tc>
        <w:tc>
          <w:tcPr>
            <w:tcW w:w="7253" w:type="dxa"/>
            <w:shd w:val="clear" w:color="auto" w:fill="auto"/>
            <w:vAlign w:val="center"/>
          </w:tcPr>
          <w:p>
            <w:pPr>
              <w:adjustRightInd w:val="0"/>
              <w:snapToGrid w:val="0"/>
              <w:jc w:val="left"/>
              <w:rPr>
                <w:rFonts w:hint="eastAsia" w:ascii="宋体" w:hAnsi="宋体" w:eastAsia="宋体" w:cs="微软雅黑"/>
                <w:color w:val="000000"/>
                <w:kern w:val="2"/>
                <w:sz w:val="21"/>
                <w:szCs w:val="21"/>
                <w:shd w:val="clear" w:color="auto" w:fill="FFFFFF"/>
                <w:lang w:val="en-US" w:eastAsia="zh-CN" w:bidi="ar-SA"/>
              </w:rPr>
            </w:pPr>
            <w:r>
              <w:rPr>
                <w:rFonts w:hint="eastAsia" w:ascii="宋体" w:hAnsi="宋体" w:cs="微软雅黑"/>
                <w:color w:val="000000"/>
                <w:szCs w:val="21"/>
                <w:shd w:val="clear" w:color="auto" w:fill="FFFFFF"/>
              </w:rPr>
              <w:t>速度：</w:t>
            </w:r>
            <w:r>
              <w:rPr>
                <w:rFonts w:ascii="宋体" w:hAnsi="宋体" w:cs="微软雅黑"/>
                <w:color w:val="000000"/>
                <w:szCs w:val="21"/>
                <w:shd w:val="clear" w:color="auto" w:fill="FFFFFF"/>
              </w:rPr>
              <w:t xml:space="preserve">0.4m/s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trPr>
        <w:tc>
          <w:tcPr>
            <w:tcW w:w="1987" w:type="dxa"/>
            <w:vMerge w:val="continue"/>
            <w:shd w:val="clear" w:color="auto" w:fill="auto"/>
            <w:vAlign w:val="center"/>
          </w:tcPr>
          <w:p>
            <w:pPr>
              <w:adjustRightInd w:val="0"/>
              <w:snapToGrid w:val="0"/>
              <w:rPr>
                <w:rFonts w:hint="eastAsia" w:ascii="宋体" w:hAnsi="宋体" w:cs="微软雅黑"/>
                <w:color w:val="000000"/>
                <w:szCs w:val="21"/>
                <w:shd w:val="clear" w:color="auto" w:fill="FFFFFF"/>
              </w:rPr>
            </w:pPr>
          </w:p>
        </w:tc>
        <w:tc>
          <w:tcPr>
            <w:tcW w:w="7253" w:type="dxa"/>
            <w:shd w:val="clear" w:color="auto" w:fill="auto"/>
            <w:vAlign w:val="center"/>
          </w:tcPr>
          <w:p>
            <w:pPr>
              <w:adjustRightInd w:val="0"/>
              <w:snapToGrid w:val="0"/>
              <w:jc w:val="left"/>
              <w:rPr>
                <w:rFonts w:hint="eastAsia" w:ascii="宋体" w:hAnsi="宋体" w:eastAsia="宋体" w:cs="微软雅黑"/>
                <w:color w:val="000000"/>
                <w:kern w:val="2"/>
                <w:sz w:val="21"/>
                <w:szCs w:val="21"/>
                <w:shd w:val="clear" w:color="auto" w:fill="FFFFFF"/>
                <w:lang w:val="en-US" w:eastAsia="zh-CN" w:bidi="ar-SA"/>
              </w:rPr>
            </w:pPr>
            <w:r>
              <w:rPr>
                <w:rFonts w:hint="eastAsia" w:ascii="宋体" w:hAnsi="宋体" w:cs="微软雅黑"/>
                <w:color w:val="000000"/>
                <w:szCs w:val="21"/>
                <w:shd w:val="clear" w:color="auto" w:fill="FFFFFF"/>
              </w:rPr>
              <w:t>服务层站：</w:t>
            </w:r>
            <w:r>
              <w:rPr>
                <w:rFonts w:ascii="宋体" w:hAnsi="宋体" w:cs="微软雅黑"/>
                <w:color w:val="000000"/>
                <w:szCs w:val="21"/>
                <w:shd w:val="clear" w:color="auto" w:fill="FFFFFF"/>
              </w:rPr>
              <w:t xml:space="preserve">3/3/3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trPr>
        <w:tc>
          <w:tcPr>
            <w:tcW w:w="1987" w:type="dxa"/>
            <w:vMerge w:val="continue"/>
            <w:shd w:val="clear" w:color="auto" w:fill="auto"/>
            <w:vAlign w:val="center"/>
          </w:tcPr>
          <w:p>
            <w:pPr>
              <w:adjustRightInd w:val="0"/>
              <w:snapToGrid w:val="0"/>
              <w:rPr>
                <w:rFonts w:hint="eastAsia" w:ascii="宋体" w:hAnsi="宋体" w:cs="微软雅黑"/>
                <w:color w:val="000000"/>
                <w:szCs w:val="21"/>
                <w:shd w:val="clear" w:color="auto" w:fill="FFFFFF"/>
              </w:rPr>
            </w:pPr>
          </w:p>
        </w:tc>
        <w:tc>
          <w:tcPr>
            <w:tcW w:w="7253" w:type="dxa"/>
            <w:shd w:val="clear" w:color="auto" w:fill="auto"/>
            <w:vAlign w:val="center"/>
          </w:tcPr>
          <w:p>
            <w:pPr>
              <w:adjustRightInd w:val="0"/>
              <w:snapToGrid w:val="0"/>
              <w:jc w:val="left"/>
              <w:rPr>
                <w:rFonts w:hint="eastAsia" w:ascii="宋体" w:hAnsi="宋体" w:eastAsia="宋体" w:cs="微软雅黑"/>
                <w:color w:val="000000"/>
                <w:kern w:val="2"/>
                <w:sz w:val="21"/>
                <w:szCs w:val="21"/>
                <w:shd w:val="clear" w:color="auto" w:fill="FFFFFF"/>
                <w:lang w:val="en-US" w:eastAsia="zh-CN" w:bidi="ar-SA"/>
              </w:rPr>
            </w:pPr>
            <w:r>
              <w:rPr>
                <w:rFonts w:hint="eastAsia" w:ascii="宋体" w:hAnsi="宋体" w:cs="微软雅黑"/>
                <w:color w:val="000000"/>
                <w:szCs w:val="21"/>
                <w:shd w:val="clear" w:color="auto" w:fill="FFFFFF"/>
              </w:rPr>
              <w:t>提升高度：</w:t>
            </w:r>
            <w:r>
              <w:rPr>
                <w:rFonts w:ascii="宋体" w:hAnsi="宋体" w:cs="微软雅黑"/>
                <w:color w:val="000000"/>
                <w:szCs w:val="21"/>
                <w:shd w:val="clear" w:color="auto" w:fill="FFFFFF"/>
              </w:rPr>
              <w:t>H=8.400m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trPr>
        <w:tc>
          <w:tcPr>
            <w:tcW w:w="1987" w:type="dxa"/>
            <w:vMerge w:val="continue"/>
            <w:shd w:val="clear" w:color="auto" w:fill="auto"/>
            <w:vAlign w:val="center"/>
          </w:tcPr>
          <w:p>
            <w:pPr>
              <w:adjustRightInd w:val="0"/>
              <w:snapToGrid w:val="0"/>
              <w:rPr>
                <w:rFonts w:hint="eastAsia" w:ascii="宋体" w:hAnsi="宋体" w:cs="微软雅黑"/>
                <w:color w:val="000000"/>
                <w:szCs w:val="21"/>
                <w:shd w:val="clear" w:color="auto" w:fill="FFFFFF"/>
              </w:rPr>
            </w:pPr>
          </w:p>
        </w:tc>
        <w:tc>
          <w:tcPr>
            <w:tcW w:w="7253" w:type="dxa"/>
            <w:shd w:val="clear" w:color="auto" w:fill="auto"/>
            <w:vAlign w:val="center"/>
          </w:tcPr>
          <w:p>
            <w:pPr>
              <w:adjustRightInd w:val="0"/>
              <w:snapToGrid w:val="0"/>
              <w:jc w:val="left"/>
              <w:rPr>
                <w:rFonts w:hint="eastAsia" w:ascii="宋体" w:hAnsi="宋体" w:eastAsia="宋体" w:cs="微软雅黑"/>
                <w:color w:val="000000"/>
                <w:kern w:val="2"/>
                <w:sz w:val="21"/>
                <w:szCs w:val="21"/>
                <w:shd w:val="clear" w:color="auto" w:fill="FFFFFF"/>
                <w:lang w:val="en-US" w:eastAsia="zh-CN" w:bidi="ar-SA"/>
              </w:rPr>
            </w:pPr>
            <w:r>
              <w:rPr>
                <w:rFonts w:hint="eastAsia" w:ascii="宋体" w:hAnsi="宋体" w:cs="微软雅黑"/>
                <w:color w:val="000000"/>
                <w:szCs w:val="21"/>
                <w:shd w:val="clear" w:color="auto" w:fill="FFFFFF"/>
              </w:rPr>
              <w:t>曳引机：有齿轮三相异步电机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trPr>
        <w:tc>
          <w:tcPr>
            <w:tcW w:w="1987" w:type="dxa"/>
            <w:vMerge w:val="continue"/>
            <w:shd w:val="clear" w:color="auto" w:fill="auto"/>
            <w:vAlign w:val="center"/>
          </w:tcPr>
          <w:p>
            <w:pPr>
              <w:adjustRightInd w:val="0"/>
              <w:snapToGrid w:val="0"/>
              <w:rPr>
                <w:rFonts w:hint="eastAsia" w:ascii="宋体" w:hAnsi="宋体" w:cs="微软雅黑"/>
                <w:color w:val="000000"/>
                <w:szCs w:val="21"/>
                <w:shd w:val="clear" w:color="auto" w:fill="FFFFFF"/>
              </w:rPr>
            </w:pPr>
          </w:p>
        </w:tc>
        <w:tc>
          <w:tcPr>
            <w:tcW w:w="7253" w:type="dxa"/>
            <w:shd w:val="clear" w:color="auto" w:fill="auto"/>
            <w:vAlign w:val="center"/>
          </w:tcPr>
          <w:p>
            <w:pPr>
              <w:adjustRightInd w:val="0"/>
              <w:snapToGrid w:val="0"/>
              <w:jc w:val="left"/>
              <w:rPr>
                <w:rFonts w:hint="eastAsia" w:ascii="宋体" w:hAnsi="宋体" w:eastAsia="宋体" w:cs="微软雅黑"/>
                <w:color w:val="000000"/>
                <w:kern w:val="2"/>
                <w:sz w:val="21"/>
                <w:szCs w:val="21"/>
                <w:shd w:val="clear" w:color="auto" w:fill="FFFFFF"/>
                <w:lang w:val="en-US" w:eastAsia="zh-CN" w:bidi="ar-SA"/>
              </w:rPr>
            </w:pPr>
            <w:r>
              <w:rPr>
                <w:rFonts w:hint="eastAsia" w:ascii="宋体" w:hAnsi="宋体" w:cs="微软雅黑"/>
                <w:color w:val="000000"/>
                <w:szCs w:val="21"/>
                <w:shd w:val="clear" w:color="auto" w:fill="FFFFFF"/>
              </w:rPr>
              <w:t>控制方式：单台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trPr>
        <w:tc>
          <w:tcPr>
            <w:tcW w:w="1987" w:type="dxa"/>
            <w:vMerge w:val="continue"/>
            <w:shd w:val="clear" w:color="auto" w:fill="auto"/>
            <w:vAlign w:val="center"/>
          </w:tcPr>
          <w:p>
            <w:pPr>
              <w:adjustRightInd w:val="0"/>
              <w:snapToGrid w:val="0"/>
              <w:rPr>
                <w:rFonts w:hint="eastAsia" w:ascii="宋体" w:hAnsi="宋体" w:cs="微软雅黑"/>
                <w:color w:val="000000"/>
                <w:szCs w:val="21"/>
                <w:shd w:val="clear" w:color="auto" w:fill="FFFFFF"/>
              </w:rPr>
            </w:pPr>
          </w:p>
        </w:tc>
        <w:tc>
          <w:tcPr>
            <w:tcW w:w="7253" w:type="dxa"/>
            <w:shd w:val="clear" w:color="auto" w:fill="auto"/>
            <w:vAlign w:val="center"/>
          </w:tcPr>
          <w:p>
            <w:pPr>
              <w:adjustRightInd w:val="0"/>
              <w:snapToGrid w:val="0"/>
              <w:jc w:val="left"/>
              <w:rPr>
                <w:rFonts w:hint="eastAsia" w:ascii="宋体" w:hAnsi="宋体" w:eastAsia="宋体" w:cs="微软雅黑"/>
                <w:color w:val="000000"/>
                <w:kern w:val="2"/>
                <w:sz w:val="21"/>
                <w:szCs w:val="21"/>
                <w:shd w:val="clear" w:color="auto" w:fill="FFFFFF"/>
                <w:lang w:val="en-US" w:eastAsia="zh-CN" w:bidi="ar-SA"/>
              </w:rPr>
            </w:pPr>
            <w:r>
              <w:rPr>
                <w:rFonts w:hint="eastAsia" w:ascii="宋体" w:hAnsi="宋体" w:cs="微软雅黑"/>
                <w:color w:val="000000"/>
                <w:szCs w:val="21"/>
                <w:shd w:val="clear" w:color="auto" w:fill="FFFFFF"/>
              </w:rPr>
              <w:t>操作系统：全集选控制方式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trPr>
        <w:tc>
          <w:tcPr>
            <w:tcW w:w="1987" w:type="dxa"/>
            <w:vMerge w:val="restart"/>
            <w:shd w:val="clear" w:color="auto" w:fill="auto"/>
            <w:vAlign w:val="center"/>
          </w:tcPr>
          <w:p>
            <w:pPr>
              <w:adjustRightInd w:val="0"/>
              <w:snapToGrid w:val="0"/>
              <w:jc w:val="center"/>
              <w:rPr>
                <w:rFonts w:hint="eastAsia" w:ascii="宋体" w:hAnsi="宋体" w:cs="微软雅黑"/>
                <w:b/>
                <w:color w:val="000000"/>
                <w:szCs w:val="21"/>
                <w:shd w:val="clear" w:color="auto" w:fill="FFFFFF"/>
              </w:rPr>
            </w:pPr>
            <w:r>
              <w:rPr>
                <w:rFonts w:hint="eastAsia" w:ascii="宋体" w:hAnsi="宋体" w:eastAsia="宋体" w:cs="宋体"/>
                <w:b/>
                <w:color w:val="000000"/>
                <w:szCs w:val="21"/>
                <w:shd w:val="clear" w:color="auto" w:fill="FFFFFF"/>
              </w:rPr>
              <w:t>▲</w:t>
            </w:r>
            <w:r>
              <w:rPr>
                <w:rFonts w:hint="eastAsia" w:ascii="宋体" w:hAnsi="宋体" w:cs="微软雅黑"/>
                <w:b/>
                <w:color w:val="000000"/>
                <w:szCs w:val="21"/>
                <w:shd w:val="clear" w:color="auto" w:fill="FFFFFF"/>
              </w:rPr>
              <w:t>井道及轿厢尺寸</w:t>
            </w:r>
          </w:p>
        </w:tc>
        <w:tc>
          <w:tcPr>
            <w:tcW w:w="7253" w:type="dxa"/>
            <w:shd w:val="clear" w:color="auto" w:fill="auto"/>
            <w:vAlign w:val="center"/>
          </w:tcPr>
          <w:p>
            <w:pPr>
              <w:adjustRightInd w:val="0"/>
              <w:snapToGrid w:val="0"/>
              <w:jc w:val="left"/>
              <w:rPr>
                <w:rFonts w:hint="eastAsia" w:ascii="宋体" w:hAnsi="宋体" w:cs="微软雅黑"/>
                <w:color w:val="000000"/>
                <w:szCs w:val="21"/>
                <w:shd w:val="clear" w:color="auto" w:fill="FFFFFF"/>
              </w:rPr>
            </w:pPr>
            <w:r>
              <w:rPr>
                <w:rFonts w:hint="eastAsia" w:ascii="宋体" w:hAnsi="宋体" w:cs="微软雅黑"/>
                <w:color w:val="000000"/>
                <w:szCs w:val="21"/>
                <w:shd w:val="clear" w:color="auto" w:fill="FFFFFF"/>
              </w:rPr>
              <w:t>井道尺寸</w:t>
            </w:r>
            <w:r>
              <w:rPr>
                <w:rFonts w:ascii="宋体" w:hAnsi="宋体" w:cs="微软雅黑"/>
                <w:color w:val="000000"/>
                <w:szCs w:val="21"/>
                <w:shd w:val="clear" w:color="auto" w:fill="FFFFFF"/>
              </w:rPr>
              <w:t>(宽×深)： 1300mm*1550mm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trPr>
        <w:tc>
          <w:tcPr>
            <w:tcW w:w="1987" w:type="dxa"/>
            <w:vMerge w:val="continue"/>
            <w:shd w:val="clear" w:color="auto" w:fill="auto"/>
            <w:vAlign w:val="center"/>
          </w:tcPr>
          <w:p>
            <w:pPr>
              <w:adjustRightInd w:val="0"/>
              <w:snapToGrid w:val="0"/>
              <w:rPr>
                <w:rFonts w:hint="eastAsia" w:ascii="宋体" w:hAnsi="宋体" w:cs="微软雅黑"/>
                <w:color w:val="000000"/>
                <w:szCs w:val="21"/>
                <w:shd w:val="clear" w:color="auto" w:fill="FFFFFF"/>
              </w:rPr>
            </w:pPr>
          </w:p>
        </w:tc>
        <w:tc>
          <w:tcPr>
            <w:tcW w:w="7253" w:type="dxa"/>
            <w:shd w:val="clear" w:color="auto" w:fill="auto"/>
            <w:vAlign w:val="center"/>
          </w:tcPr>
          <w:p>
            <w:pPr>
              <w:adjustRightInd w:val="0"/>
              <w:snapToGrid w:val="0"/>
              <w:jc w:val="left"/>
              <w:rPr>
                <w:rFonts w:hint="default" w:ascii="宋体" w:hAnsi="宋体" w:eastAsia="宋体" w:cs="微软雅黑"/>
                <w:color w:val="000000"/>
                <w:szCs w:val="21"/>
                <w:shd w:val="clear" w:color="auto" w:fill="FFFFFF"/>
                <w:lang w:val="en-US" w:eastAsia="zh-CN"/>
              </w:rPr>
            </w:pPr>
            <w:r>
              <w:rPr>
                <w:rFonts w:hint="eastAsia" w:ascii="宋体" w:hAnsi="宋体" w:cs="微软雅黑"/>
                <w:color w:val="000000"/>
                <w:szCs w:val="21"/>
                <w:shd w:val="clear" w:color="auto" w:fill="FFFFFF"/>
              </w:rPr>
              <w:t>轿厢尺寸</w:t>
            </w:r>
            <w:r>
              <w:rPr>
                <w:rFonts w:ascii="宋体" w:hAnsi="宋体" w:cs="微软雅黑"/>
                <w:color w:val="000000"/>
                <w:szCs w:val="21"/>
                <w:shd w:val="clear" w:color="auto" w:fill="FFFFFF"/>
              </w:rPr>
              <w:t>(宽×深×</w:t>
            </w:r>
            <w:r>
              <w:rPr>
                <w:rFonts w:hint="eastAsia" w:ascii="宋体" w:hAnsi="宋体" w:cs="微软雅黑"/>
                <w:color w:val="000000"/>
                <w:szCs w:val="21"/>
                <w:shd w:val="clear" w:color="auto" w:fill="FFFFFF"/>
                <w:lang w:val="en-US" w:eastAsia="zh-CN"/>
              </w:rPr>
              <w:t>高</w:t>
            </w:r>
            <w:r>
              <w:rPr>
                <w:rFonts w:ascii="宋体" w:hAnsi="宋体" w:cs="微软雅黑"/>
                <w:color w:val="000000"/>
                <w:szCs w:val="21"/>
                <w:shd w:val="clear" w:color="auto" w:fill="FFFFFF"/>
              </w:rPr>
              <w:t xml:space="preserve">)： </w:t>
            </w:r>
            <w:r>
              <w:rPr>
                <w:rFonts w:hint="eastAsia" w:ascii="宋体" w:hAnsi="宋体" w:cs="微软雅黑"/>
                <w:color w:val="000000"/>
                <w:szCs w:val="21"/>
                <w:shd w:val="clear" w:color="auto" w:fill="FFFFFF"/>
                <w:lang w:val="en-US" w:eastAsia="zh-CN"/>
              </w:rPr>
              <w:t>8</w:t>
            </w:r>
            <w:r>
              <w:rPr>
                <w:rFonts w:ascii="宋体" w:hAnsi="宋体" w:cs="微软雅黑"/>
                <w:color w:val="000000"/>
                <w:szCs w:val="21"/>
                <w:shd w:val="clear" w:color="auto" w:fill="FFFFFF"/>
              </w:rPr>
              <w:t>00mm*1</w:t>
            </w:r>
            <w:r>
              <w:rPr>
                <w:rFonts w:hint="eastAsia" w:ascii="宋体" w:hAnsi="宋体" w:cs="微软雅黑"/>
                <w:color w:val="000000"/>
                <w:szCs w:val="21"/>
                <w:shd w:val="clear" w:color="auto" w:fill="FFFFFF"/>
                <w:lang w:val="en-US" w:eastAsia="zh-CN"/>
              </w:rPr>
              <w:t>0</w:t>
            </w:r>
            <w:r>
              <w:rPr>
                <w:rFonts w:ascii="宋体" w:hAnsi="宋体" w:cs="微软雅黑"/>
                <w:color w:val="000000"/>
                <w:szCs w:val="21"/>
                <w:shd w:val="clear" w:color="auto" w:fill="FFFFFF"/>
              </w:rPr>
              <w:t>00mm*</w:t>
            </w:r>
            <w:r>
              <w:rPr>
                <w:rFonts w:hint="eastAsia" w:ascii="宋体" w:hAnsi="宋体" w:cs="微软雅黑"/>
                <w:color w:val="000000"/>
                <w:szCs w:val="21"/>
                <w:shd w:val="clear" w:color="auto" w:fill="FFFFFF"/>
                <w:lang w:val="en-US" w:eastAsia="zh-CN"/>
              </w:rPr>
              <w:t>1200mm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trPr>
        <w:tc>
          <w:tcPr>
            <w:tcW w:w="1987" w:type="dxa"/>
            <w:vMerge w:val="continue"/>
            <w:shd w:val="clear" w:color="auto" w:fill="auto"/>
            <w:vAlign w:val="center"/>
          </w:tcPr>
          <w:p>
            <w:pPr>
              <w:adjustRightInd w:val="0"/>
              <w:snapToGrid w:val="0"/>
              <w:rPr>
                <w:rFonts w:hint="eastAsia" w:ascii="宋体" w:hAnsi="宋体" w:cs="微软雅黑"/>
                <w:color w:val="000000"/>
                <w:szCs w:val="21"/>
                <w:shd w:val="clear" w:color="auto" w:fill="FFFFFF"/>
              </w:rPr>
            </w:pPr>
          </w:p>
        </w:tc>
        <w:tc>
          <w:tcPr>
            <w:tcW w:w="7253" w:type="dxa"/>
            <w:shd w:val="clear" w:color="auto" w:fill="auto"/>
            <w:vAlign w:val="center"/>
          </w:tcPr>
          <w:p>
            <w:pPr>
              <w:adjustRightInd w:val="0"/>
              <w:snapToGrid w:val="0"/>
              <w:jc w:val="left"/>
              <w:rPr>
                <w:rFonts w:hint="eastAsia" w:ascii="宋体" w:hAnsi="宋体" w:cs="微软雅黑"/>
                <w:color w:val="000000"/>
                <w:szCs w:val="21"/>
                <w:shd w:val="clear" w:color="auto" w:fill="FFFFFF"/>
              </w:rPr>
            </w:pPr>
            <w:r>
              <w:rPr>
                <w:rFonts w:hint="eastAsia" w:ascii="宋体" w:hAnsi="宋体" w:cs="微软雅黑"/>
                <w:color w:val="000000"/>
                <w:szCs w:val="21"/>
                <w:shd w:val="clear" w:color="auto" w:fill="FFFFFF"/>
              </w:rPr>
              <w:t>开门净尺寸</w:t>
            </w:r>
            <w:r>
              <w:rPr>
                <w:rFonts w:ascii="宋体" w:hAnsi="宋体" w:cs="微软雅黑"/>
                <w:color w:val="000000"/>
                <w:szCs w:val="21"/>
                <w:shd w:val="clear" w:color="auto" w:fill="FFFFFF"/>
              </w:rPr>
              <w:t xml:space="preserve">(宽×高)： </w:t>
            </w:r>
            <w:r>
              <w:rPr>
                <w:rFonts w:hint="eastAsia" w:ascii="宋体" w:hAnsi="宋体" w:cs="微软雅黑"/>
                <w:color w:val="000000"/>
                <w:szCs w:val="21"/>
                <w:shd w:val="clear" w:color="auto" w:fill="FFFFFF"/>
                <w:lang w:val="en-US" w:eastAsia="zh-CN"/>
              </w:rPr>
              <w:t>8</w:t>
            </w:r>
            <w:r>
              <w:rPr>
                <w:rFonts w:ascii="宋体" w:hAnsi="宋体" w:cs="微软雅黑"/>
                <w:color w:val="000000"/>
                <w:szCs w:val="21"/>
                <w:shd w:val="clear" w:color="auto" w:fill="FFFFFF"/>
              </w:rPr>
              <w:t>00mm*1</w:t>
            </w:r>
            <w:r>
              <w:rPr>
                <w:rFonts w:hint="eastAsia" w:ascii="宋体" w:hAnsi="宋体" w:cs="微软雅黑"/>
                <w:color w:val="000000"/>
                <w:szCs w:val="21"/>
                <w:shd w:val="clear" w:color="auto" w:fill="FFFFFF"/>
                <w:lang w:val="en-US" w:eastAsia="zh-CN"/>
              </w:rPr>
              <w:t>200</w:t>
            </w:r>
            <w:r>
              <w:rPr>
                <w:rFonts w:ascii="宋体" w:hAnsi="宋体" w:cs="微软雅黑"/>
                <w:color w:val="000000"/>
                <w:szCs w:val="21"/>
                <w:shd w:val="clear" w:color="auto" w:fill="FFFFFF"/>
              </w:rPr>
              <w:t>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trPr>
        <w:tc>
          <w:tcPr>
            <w:tcW w:w="1987" w:type="dxa"/>
            <w:vMerge w:val="continue"/>
            <w:shd w:val="clear" w:color="auto" w:fill="auto"/>
            <w:vAlign w:val="center"/>
          </w:tcPr>
          <w:p>
            <w:pPr>
              <w:adjustRightInd w:val="0"/>
              <w:snapToGrid w:val="0"/>
              <w:rPr>
                <w:rFonts w:hint="eastAsia" w:ascii="宋体" w:hAnsi="宋体" w:cs="微软雅黑"/>
                <w:color w:val="000000"/>
                <w:szCs w:val="21"/>
                <w:shd w:val="clear" w:color="auto" w:fill="FFFFFF"/>
              </w:rPr>
            </w:pPr>
          </w:p>
        </w:tc>
        <w:tc>
          <w:tcPr>
            <w:tcW w:w="7253" w:type="dxa"/>
            <w:shd w:val="clear" w:color="auto" w:fill="auto"/>
            <w:vAlign w:val="center"/>
          </w:tcPr>
          <w:p>
            <w:pPr>
              <w:adjustRightInd w:val="0"/>
              <w:snapToGrid w:val="0"/>
              <w:jc w:val="left"/>
              <w:rPr>
                <w:rFonts w:hint="default" w:ascii="宋体" w:hAnsi="宋体" w:eastAsia="宋体" w:cs="微软雅黑"/>
                <w:color w:val="000000"/>
                <w:szCs w:val="21"/>
                <w:shd w:val="clear" w:color="auto" w:fill="FFFFFF"/>
                <w:lang w:val="en-US" w:eastAsia="zh-CN"/>
              </w:rPr>
            </w:pPr>
            <w:r>
              <w:rPr>
                <w:rFonts w:hint="eastAsia" w:ascii="宋体" w:hAnsi="宋体" w:cs="微软雅黑"/>
                <w:color w:val="000000"/>
                <w:szCs w:val="21"/>
                <w:shd w:val="clear" w:color="auto" w:fill="FFFFFF"/>
                <w:lang w:val="en-US" w:eastAsia="zh-CN"/>
              </w:rPr>
              <w:t>轿厢高度：1200mm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trPr>
        <w:tc>
          <w:tcPr>
            <w:tcW w:w="1987" w:type="dxa"/>
            <w:vMerge w:val="continue"/>
            <w:shd w:val="clear" w:color="auto" w:fill="auto"/>
            <w:vAlign w:val="center"/>
          </w:tcPr>
          <w:p>
            <w:pPr>
              <w:adjustRightInd w:val="0"/>
              <w:snapToGrid w:val="0"/>
              <w:rPr>
                <w:rFonts w:hint="eastAsia" w:ascii="宋体" w:hAnsi="宋体" w:cs="微软雅黑"/>
                <w:color w:val="000000"/>
                <w:szCs w:val="21"/>
                <w:shd w:val="clear" w:color="auto" w:fill="FFFFFF"/>
              </w:rPr>
            </w:pPr>
          </w:p>
        </w:tc>
        <w:tc>
          <w:tcPr>
            <w:tcW w:w="7253" w:type="dxa"/>
            <w:shd w:val="clear" w:color="auto" w:fill="auto"/>
            <w:vAlign w:val="center"/>
          </w:tcPr>
          <w:p>
            <w:pPr>
              <w:adjustRightInd w:val="0"/>
              <w:snapToGrid w:val="0"/>
              <w:jc w:val="left"/>
              <w:rPr>
                <w:rFonts w:hint="eastAsia" w:ascii="宋体" w:hAnsi="宋体" w:cs="微软雅黑"/>
                <w:color w:val="000000"/>
                <w:szCs w:val="21"/>
                <w:shd w:val="clear" w:color="auto" w:fill="FFFFFF"/>
              </w:rPr>
            </w:pPr>
            <w:r>
              <w:rPr>
                <w:rFonts w:hint="eastAsia" w:ascii="宋体" w:hAnsi="宋体" w:cs="微软雅黑"/>
                <w:color w:val="000000"/>
                <w:szCs w:val="21"/>
                <w:shd w:val="clear" w:color="auto" w:fill="FFFFFF"/>
              </w:rPr>
              <w:t>顶层高度</w:t>
            </w:r>
            <w:r>
              <w:rPr>
                <w:rFonts w:ascii="宋体" w:hAnsi="宋体" w:cs="微软雅黑"/>
                <w:color w:val="000000"/>
                <w:szCs w:val="21"/>
                <w:shd w:val="clear" w:color="auto" w:fill="FFFFFF"/>
              </w:rPr>
              <w:t>:4000mm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trPr>
        <w:tc>
          <w:tcPr>
            <w:tcW w:w="1987" w:type="dxa"/>
            <w:vMerge w:val="continue"/>
            <w:shd w:val="clear" w:color="auto" w:fill="auto"/>
            <w:vAlign w:val="center"/>
          </w:tcPr>
          <w:p>
            <w:pPr>
              <w:adjustRightInd w:val="0"/>
              <w:snapToGrid w:val="0"/>
              <w:rPr>
                <w:rFonts w:hint="eastAsia" w:ascii="宋体" w:hAnsi="宋体" w:cs="微软雅黑"/>
                <w:color w:val="000000"/>
                <w:szCs w:val="21"/>
                <w:shd w:val="clear" w:color="auto" w:fill="FFFFFF"/>
              </w:rPr>
            </w:pPr>
          </w:p>
        </w:tc>
        <w:tc>
          <w:tcPr>
            <w:tcW w:w="7253" w:type="dxa"/>
            <w:shd w:val="clear" w:color="auto" w:fill="auto"/>
            <w:vAlign w:val="center"/>
          </w:tcPr>
          <w:p>
            <w:pPr>
              <w:adjustRightInd w:val="0"/>
              <w:snapToGrid w:val="0"/>
              <w:jc w:val="left"/>
              <w:rPr>
                <w:rFonts w:hint="eastAsia" w:ascii="宋体" w:hAnsi="宋体" w:cs="微软雅黑"/>
                <w:color w:val="000000"/>
                <w:szCs w:val="21"/>
                <w:shd w:val="clear" w:color="auto" w:fill="FFFFFF"/>
              </w:rPr>
            </w:pPr>
            <w:r>
              <w:rPr>
                <w:rFonts w:hint="eastAsia" w:ascii="宋体" w:hAnsi="宋体" w:cs="微软雅黑"/>
                <w:color w:val="000000"/>
                <w:szCs w:val="21"/>
                <w:shd w:val="clear" w:color="auto" w:fill="FFFFFF"/>
              </w:rPr>
              <w:t>底坑深度</w:t>
            </w:r>
            <w:r>
              <w:rPr>
                <w:rFonts w:ascii="宋体" w:hAnsi="宋体" w:cs="微软雅黑"/>
                <w:color w:val="000000"/>
                <w:szCs w:val="21"/>
                <w:shd w:val="clear" w:color="auto" w:fill="FFFFFF"/>
              </w:rPr>
              <w:t>:600mm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trPr>
        <w:tc>
          <w:tcPr>
            <w:tcW w:w="1987" w:type="dxa"/>
            <w:vMerge w:val="restart"/>
            <w:shd w:val="clear" w:color="auto" w:fill="auto"/>
            <w:vAlign w:val="center"/>
          </w:tcPr>
          <w:p>
            <w:pPr>
              <w:adjustRightInd w:val="0"/>
              <w:snapToGrid w:val="0"/>
              <w:jc w:val="center"/>
              <w:rPr>
                <w:rFonts w:hint="eastAsia" w:ascii="宋体" w:hAnsi="宋体" w:cs="微软雅黑"/>
                <w:b/>
                <w:color w:val="000000"/>
                <w:szCs w:val="21"/>
                <w:shd w:val="clear" w:color="auto" w:fill="FFFFFF"/>
              </w:rPr>
            </w:pPr>
            <w:r>
              <w:rPr>
                <w:rFonts w:hint="eastAsia" w:ascii="宋体" w:hAnsi="宋体" w:cs="微软雅黑"/>
                <w:b/>
                <w:color w:val="000000"/>
                <w:szCs w:val="21"/>
                <w:shd w:val="clear" w:color="auto" w:fill="FFFFFF"/>
                <w:lang w:val="en-US" w:eastAsia="zh-CN"/>
              </w:rPr>
              <w:t>轿厢、</w:t>
            </w:r>
            <w:r>
              <w:rPr>
                <w:rFonts w:hint="eastAsia" w:ascii="宋体" w:hAnsi="宋体" w:cs="微软雅黑"/>
                <w:b/>
                <w:color w:val="000000"/>
                <w:szCs w:val="21"/>
                <w:shd w:val="clear" w:color="auto" w:fill="FFFFFF"/>
              </w:rPr>
              <w:t>厅门及门套</w:t>
            </w:r>
          </w:p>
        </w:tc>
        <w:tc>
          <w:tcPr>
            <w:tcW w:w="7253" w:type="dxa"/>
            <w:shd w:val="clear" w:color="auto" w:fill="auto"/>
            <w:vAlign w:val="center"/>
          </w:tcPr>
          <w:p>
            <w:pPr>
              <w:adjustRightInd w:val="0"/>
              <w:snapToGrid w:val="0"/>
              <w:jc w:val="left"/>
              <w:rPr>
                <w:rFonts w:hint="default" w:ascii="宋体" w:hAnsi="宋体" w:eastAsia="宋体" w:cs="微软雅黑"/>
                <w:color w:val="000000"/>
                <w:szCs w:val="21"/>
                <w:shd w:val="clear" w:color="auto" w:fill="FFFFFF"/>
                <w:lang w:val="en-US" w:eastAsia="zh-CN"/>
              </w:rPr>
            </w:pPr>
            <w:r>
              <w:rPr>
                <w:rFonts w:hint="eastAsia" w:ascii="宋体" w:hAnsi="宋体" w:cs="微软雅黑"/>
                <w:color w:val="000000"/>
                <w:szCs w:val="21"/>
                <w:shd w:val="clear" w:color="auto" w:fill="FFFFFF"/>
                <w:lang w:val="en-US" w:eastAsia="zh-CN"/>
              </w:rPr>
              <w:t>轿厢材质：304发纹</w:t>
            </w:r>
            <w:r>
              <w:rPr>
                <w:rFonts w:ascii="宋体" w:hAnsi="宋体" w:cs="微软雅黑"/>
                <w:color w:val="000000"/>
                <w:szCs w:val="21"/>
                <w:shd w:val="clear" w:color="auto" w:fill="FFFFFF"/>
              </w:rPr>
              <w:t>不锈钢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trPr>
        <w:tc>
          <w:tcPr>
            <w:tcW w:w="1987" w:type="dxa"/>
            <w:vMerge w:val="continue"/>
            <w:shd w:val="clear" w:color="auto" w:fill="auto"/>
            <w:vAlign w:val="center"/>
          </w:tcPr>
          <w:p>
            <w:pPr>
              <w:adjustRightInd w:val="0"/>
              <w:snapToGrid w:val="0"/>
              <w:jc w:val="center"/>
              <w:rPr>
                <w:rFonts w:hint="eastAsia" w:ascii="宋体" w:hAnsi="宋体" w:cs="微软雅黑"/>
                <w:b/>
                <w:color w:val="000000"/>
                <w:szCs w:val="21"/>
                <w:shd w:val="clear" w:color="auto" w:fill="FFFFFF"/>
              </w:rPr>
            </w:pPr>
          </w:p>
        </w:tc>
        <w:tc>
          <w:tcPr>
            <w:tcW w:w="7253" w:type="dxa"/>
            <w:shd w:val="clear" w:color="auto" w:fill="auto"/>
            <w:vAlign w:val="center"/>
          </w:tcPr>
          <w:p>
            <w:pPr>
              <w:adjustRightInd w:val="0"/>
              <w:snapToGrid w:val="0"/>
              <w:jc w:val="left"/>
              <w:rPr>
                <w:rFonts w:hint="eastAsia" w:ascii="宋体" w:hAnsi="宋体" w:cs="微软雅黑"/>
                <w:color w:val="000000"/>
                <w:szCs w:val="21"/>
                <w:shd w:val="clear" w:color="auto" w:fill="FFFFFF"/>
              </w:rPr>
            </w:pPr>
            <w:r>
              <w:rPr>
                <w:rFonts w:hint="eastAsia" w:ascii="宋体" w:hAnsi="宋体" w:cs="微软雅黑"/>
                <w:color w:val="000000"/>
                <w:szCs w:val="21"/>
                <w:shd w:val="clear" w:color="auto" w:fill="FFFFFF"/>
              </w:rPr>
              <w:t>厅门材质：所有层</w:t>
            </w:r>
            <w:r>
              <w:rPr>
                <w:rFonts w:hint="eastAsia" w:ascii="宋体" w:hAnsi="宋体" w:cs="微软雅黑"/>
                <w:color w:val="000000"/>
                <w:szCs w:val="21"/>
                <w:shd w:val="clear" w:color="auto" w:fill="FFFFFF"/>
                <w:lang w:val="en-US" w:eastAsia="zh-CN"/>
              </w:rPr>
              <w:t>304发纹</w:t>
            </w:r>
            <w:r>
              <w:rPr>
                <w:rFonts w:ascii="宋体" w:hAnsi="宋体" w:cs="微软雅黑"/>
                <w:color w:val="000000"/>
                <w:szCs w:val="21"/>
                <w:shd w:val="clear" w:color="auto" w:fill="FFFFFF"/>
              </w:rPr>
              <w:t>不锈钢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trPr>
        <w:tc>
          <w:tcPr>
            <w:tcW w:w="1987" w:type="dxa"/>
            <w:vMerge w:val="continue"/>
            <w:shd w:val="clear" w:color="auto" w:fill="auto"/>
            <w:vAlign w:val="center"/>
          </w:tcPr>
          <w:p>
            <w:pPr>
              <w:adjustRightInd w:val="0"/>
              <w:snapToGrid w:val="0"/>
              <w:jc w:val="center"/>
              <w:rPr>
                <w:rFonts w:hint="eastAsia" w:ascii="宋体" w:hAnsi="宋体" w:cs="微软雅黑"/>
                <w:b/>
                <w:color w:val="000000"/>
                <w:szCs w:val="21"/>
                <w:shd w:val="clear" w:color="auto" w:fill="FFFFFF"/>
              </w:rPr>
            </w:pPr>
          </w:p>
        </w:tc>
        <w:tc>
          <w:tcPr>
            <w:tcW w:w="7253" w:type="dxa"/>
            <w:shd w:val="clear" w:color="auto" w:fill="auto"/>
            <w:vAlign w:val="center"/>
          </w:tcPr>
          <w:p>
            <w:pPr>
              <w:adjustRightInd w:val="0"/>
              <w:snapToGrid w:val="0"/>
              <w:jc w:val="left"/>
              <w:rPr>
                <w:rFonts w:hint="eastAsia" w:ascii="宋体" w:hAnsi="宋体" w:cs="微软雅黑"/>
                <w:color w:val="000000"/>
                <w:szCs w:val="21"/>
                <w:shd w:val="clear" w:color="auto" w:fill="FFFFFF"/>
              </w:rPr>
            </w:pPr>
            <w:r>
              <w:rPr>
                <w:rFonts w:hint="eastAsia" w:ascii="宋体" w:hAnsi="宋体" w:cs="微软雅黑"/>
                <w:color w:val="000000"/>
                <w:szCs w:val="21"/>
                <w:shd w:val="clear" w:color="auto" w:fill="FFFFFF"/>
              </w:rPr>
              <w:t>厅门类型：所有层为手动门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trPr>
        <w:tc>
          <w:tcPr>
            <w:tcW w:w="1987" w:type="dxa"/>
            <w:vMerge w:val="continue"/>
            <w:shd w:val="clear" w:color="auto" w:fill="auto"/>
            <w:vAlign w:val="center"/>
          </w:tcPr>
          <w:p>
            <w:pPr>
              <w:adjustRightInd w:val="0"/>
              <w:snapToGrid w:val="0"/>
              <w:jc w:val="center"/>
              <w:rPr>
                <w:rFonts w:hint="eastAsia" w:ascii="宋体" w:hAnsi="宋体" w:cs="微软雅黑"/>
                <w:b/>
                <w:color w:val="000000"/>
                <w:szCs w:val="21"/>
                <w:shd w:val="clear" w:color="auto" w:fill="FFFFFF"/>
              </w:rPr>
            </w:pPr>
          </w:p>
        </w:tc>
        <w:tc>
          <w:tcPr>
            <w:tcW w:w="7253" w:type="dxa"/>
            <w:shd w:val="clear" w:color="auto" w:fill="auto"/>
            <w:vAlign w:val="center"/>
          </w:tcPr>
          <w:p>
            <w:pPr>
              <w:adjustRightInd w:val="0"/>
              <w:snapToGrid w:val="0"/>
              <w:jc w:val="left"/>
              <w:rPr>
                <w:rFonts w:hint="eastAsia" w:ascii="宋体" w:hAnsi="宋体" w:cs="微软雅黑"/>
                <w:color w:val="000000"/>
                <w:szCs w:val="21"/>
                <w:shd w:val="clear" w:color="auto" w:fill="FFFFFF"/>
              </w:rPr>
            </w:pPr>
            <w:r>
              <w:rPr>
                <w:rFonts w:hint="eastAsia" w:ascii="宋体" w:hAnsi="宋体" w:cs="微软雅黑"/>
                <w:color w:val="000000"/>
                <w:szCs w:val="21"/>
                <w:shd w:val="clear" w:color="auto" w:fill="FFFFFF"/>
              </w:rPr>
              <w:t>小门套材质：所有层为</w:t>
            </w:r>
            <w:r>
              <w:rPr>
                <w:rFonts w:hint="eastAsia" w:ascii="宋体" w:hAnsi="宋体" w:cs="微软雅黑"/>
                <w:color w:val="000000"/>
                <w:szCs w:val="21"/>
                <w:shd w:val="clear" w:color="auto" w:fill="FFFFFF"/>
                <w:lang w:val="en-US" w:eastAsia="zh-CN"/>
              </w:rPr>
              <w:t>304发纹</w:t>
            </w:r>
            <w:r>
              <w:rPr>
                <w:rFonts w:ascii="宋体" w:hAnsi="宋体" w:cs="微软雅黑"/>
                <w:color w:val="000000"/>
                <w:szCs w:val="21"/>
                <w:shd w:val="clear" w:color="auto" w:fill="FFFFFF"/>
              </w:rPr>
              <w:t>不锈钢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trPr>
        <w:tc>
          <w:tcPr>
            <w:tcW w:w="1987" w:type="dxa"/>
            <w:shd w:val="clear" w:color="auto" w:fill="auto"/>
            <w:vAlign w:val="center"/>
          </w:tcPr>
          <w:p>
            <w:pPr>
              <w:adjustRightInd w:val="0"/>
              <w:snapToGrid w:val="0"/>
              <w:jc w:val="center"/>
              <w:rPr>
                <w:rFonts w:hint="eastAsia" w:ascii="宋体" w:hAnsi="宋体" w:cs="微软雅黑"/>
                <w:b/>
                <w:color w:val="000000"/>
                <w:szCs w:val="21"/>
                <w:shd w:val="clear" w:color="auto" w:fill="FFFFFF"/>
                <w:lang w:val="en-US" w:eastAsia="zh-CN"/>
              </w:rPr>
            </w:pPr>
            <w:r>
              <w:rPr>
                <w:rFonts w:hint="eastAsia" w:ascii="宋体" w:hAnsi="宋体" w:cs="微软雅黑"/>
                <w:b/>
                <w:color w:val="000000"/>
                <w:szCs w:val="21"/>
                <w:shd w:val="clear" w:color="auto" w:fill="FFFFFF"/>
                <w:lang w:val="en-US" w:eastAsia="zh-CN"/>
              </w:rPr>
              <w:t>开门位置</w:t>
            </w:r>
          </w:p>
        </w:tc>
        <w:tc>
          <w:tcPr>
            <w:tcW w:w="7253" w:type="dxa"/>
            <w:shd w:val="clear" w:color="auto" w:fill="auto"/>
            <w:vAlign w:val="center"/>
          </w:tcPr>
          <w:p>
            <w:pPr>
              <w:adjustRightInd w:val="0"/>
              <w:snapToGrid w:val="0"/>
              <w:jc w:val="left"/>
              <w:rPr>
                <w:rFonts w:hint="eastAsia" w:ascii="宋体" w:hAnsi="宋体" w:eastAsia="宋体" w:cs="微软雅黑"/>
                <w:color w:val="000000"/>
                <w:szCs w:val="21"/>
                <w:shd w:val="clear" w:color="auto" w:fill="FFFFFF"/>
                <w:lang w:val="en-US" w:eastAsia="zh-CN"/>
              </w:rPr>
            </w:pPr>
            <w:r>
              <w:rPr>
                <w:rFonts w:hint="eastAsia" w:ascii="宋体" w:hAnsi="宋体" w:cs="微软雅黑"/>
                <w:color w:val="000000"/>
                <w:szCs w:val="21"/>
                <w:shd w:val="clear" w:color="auto" w:fill="FFFFFF"/>
                <w:lang w:val="en-US" w:eastAsia="zh-CN"/>
              </w:rPr>
              <w:t>地平式</w:t>
            </w:r>
          </w:p>
        </w:tc>
      </w:tr>
    </w:tbl>
    <w:p>
      <w:pPr>
        <w:pStyle w:val="12"/>
        <w:numPr>
          <w:ilvl w:val="0"/>
          <w:numId w:val="1"/>
        </w:numPr>
        <w:spacing w:line="360" w:lineRule="auto"/>
        <w:jc w:val="both"/>
        <w:rPr>
          <w:rFonts w:hint="eastAsia" w:ascii="宋体" w:hAnsi="宋体" w:eastAsia="宋体" w:cs="宋体"/>
          <w:color w:val="auto"/>
          <w:kern w:val="2"/>
          <w:sz w:val="21"/>
          <w:szCs w:val="21"/>
          <w:lang w:val="en-US" w:eastAsia="zh-CN" w:bidi="ar-SA"/>
        </w:rPr>
      </w:pPr>
      <w:bookmarkStart w:id="2" w:name="_GoBack"/>
      <w:r>
        <w:rPr>
          <w:rFonts w:hint="eastAsia" w:ascii="宋体" w:hAnsi="宋体" w:eastAsia="宋体" w:cs="宋体"/>
          <w:color w:val="auto"/>
          <w:kern w:val="2"/>
          <w:sz w:val="21"/>
          <w:szCs w:val="21"/>
          <w:lang w:val="en-US" w:eastAsia="zh-CN" w:bidi="ar-SA"/>
        </w:rPr>
        <w:t>所投电梯制造商厅门生产应有先进的技术，例门板宽度具有在线检测系统、门板具有自动折弯系统等；</w:t>
      </w:r>
    </w:p>
    <w:p>
      <w:pPr>
        <w:pStyle w:val="12"/>
        <w:numPr>
          <w:ilvl w:val="0"/>
          <w:numId w:val="1"/>
        </w:numPr>
        <w:spacing w:line="360" w:lineRule="auto"/>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所投电梯制造商具有电梯随行电缆的防晃装置，使电缆随行架受到的线缆牵拉力均匀分布在多根导轨上，能有效避免电缆随行架与导轨相互卡住的风险（提供第三方权威机构出具证明文件并加盖投标单位公章）</w:t>
      </w:r>
    </w:p>
    <w:p>
      <w:pPr>
        <w:pStyle w:val="9"/>
        <w:keepNext w:val="0"/>
        <w:keepLines w:val="0"/>
        <w:pageBreakBefore w:val="0"/>
        <w:widowControl/>
        <w:numPr>
          <w:ilvl w:val="0"/>
          <w:numId w:val="1"/>
        </w:numPr>
        <w:kinsoku w:val="0"/>
        <w:wordWrap/>
        <w:overflowPunct/>
        <w:topLinePunct w:val="0"/>
        <w:autoSpaceDE w:val="0"/>
        <w:autoSpaceDN w:val="0"/>
        <w:bidi w:val="0"/>
        <w:adjustRightInd w:val="0"/>
        <w:snapToGrid w:val="0"/>
        <w:spacing w:line="360" w:lineRule="auto"/>
        <w:ind w:right="0" w:rightChars="0"/>
        <w:jc w:val="left"/>
        <w:textAlignment w:val="baseline"/>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所投电梯制造商控制柜正常运行的供电电源可宽电压范围在380V±15%之间(包含其本数)，宽电压在此范围之外每正或负1%(提供制造商试验（检验）报告复印件并加盖投标单位公章)</w:t>
      </w:r>
    </w:p>
    <w:p>
      <w:pPr>
        <w:pStyle w:val="9"/>
        <w:keepNext w:val="0"/>
        <w:keepLines w:val="0"/>
        <w:pageBreakBefore w:val="0"/>
        <w:widowControl/>
        <w:numPr>
          <w:ilvl w:val="0"/>
          <w:numId w:val="1"/>
        </w:numPr>
        <w:kinsoku w:val="0"/>
        <w:wordWrap/>
        <w:overflowPunct/>
        <w:topLinePunct w:val="0"/>
        <w:autoSpaceDE w:val="0"/>
        <w:autoSpaceDN w:val="0"/>
        <w:bidi w:val="0"/>
        <w:adjustRightInd w:val="0"/>
        <w:snapToGrid w:val="0"/>
        <w:spacing w:line="360" w:lineRule="auto"/>
        <w:ind w:right="0" w:rightChars="0"/>
        <w:jc w:val="left"/>
        <w:textAlignment w:val="baseline"/>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2"/>
          <w:sz w:val="21"/>
          <w:szCs w:val="21"/>
          <w:lang w:val="en-US" w:eastAsia="zh-CN" w:bidi="ar-SA"/>
        </w:rPr>
        <w:t>所有电梯制造商按钮寿命测试达2000万次。（提供制造商按钮试验（检验）报告复印件并加盖投标单位公章）</w:t>
      </w:r>
    </w:p>
    <w:p>
      <w:pPr>
        <w:pStyle w:val="12"/>
        <w:spacing w:line="360" w:lineRule="auto"/>
        <w:jc w:val="both"/>
        <w:rPr>
          <w:color w:val="auto"/>
        </w:rPr>
      </w:pPr>
      <w:r>
        <w:rPr>
          <w:rFonts w:hint="eastAsia" w:ascii="宋体" w:hAnsi="宋体" w:eastAsia="宋体" w:cs="宋体"/>
          <w:b/>
          <w:color w:val="auto"/>
          <w:sz w:val="21"/>
          <w:shd w:val="clear" w:fill="FFFFFF"/>
          <w:lang w:val="en-US" w:eastAsia="zh-CN"/>
        </w:rPr>
        <w:t>二</w:t>
      </w:r>
      <w:r>
        <w:rPr>
          <w:rFonts w:ascii="宋体" w:hAnsi="宋体" w:eastAsia="宋体" w:cs="宋体"/>
          <w:b/>
          <w:color w:val="auto"/>
          <w:sz w:val="21"/>
          <w:shd w:val="clear" w:fill="FFFFFF"/>
        </w:rPr>
        <w:t>、旧梯拆除、新梯安装、调试与试运行</w:t>
      </w:r>
    </w:p>
    <w:p>
      <w:pPr>
        <w:pStyle w:val="12"/>
        <w:spacing w:line="360" w:lineRule="auto"/>
        <w:jc w:val="both"/>
        <w:rPr>
          <w:color w:val="auto"/>
        </w:rPr>
      </w:pPr>
      <w:r>
        <w:rPr>
          <w:rFonts w:ascii="宋体" w:hAnsi="宋体" w:eastAsia="宋体" w:cs="宋体"/>
          <w:color w:val="auto"/>
          <w:sz w:val="21"/>
          <w:shd w:val="clear" w:fill="FFFFFF"/>
        </w:rPr>
        <w:t>1、中标人应派技术人员到现场拆除、安装、调试直到设备正常运行。</w:t>
      </w:r>
    </w:p>
    <w:p>
      <w:pPr>
        <w:pStyle w:val="12"/>
        <w:spacing w:line="360" w:lineRule="auto"/>
        <w:jc w:val="both"/>
        <w:rPr>
          <w:color w:val="auto"/>
        </w:rPr>
      </w:pPr>
      <w:r>
        <w:rPr>
          <w:rFonts w:ascii="宋体" w:hAnsi="宋体" w:eastAsia="宋体" w:cs="宋体"/>
          <w:color w:val="auto"/>
          <w:sz w:val="21"/>
          <w:shd w:val="clear" w:fill="FFFFFF"/>
        </w:rPr>
        <w:t>2、中标人应提供全部调试过程中所需的特殊工具、润滑剂、易损件和专用仪器仪表。</w:t>
      </w:r>
    </w:p>
    <w:p>
      <w:pPr>
        <w:pStyle w:val="12"/>
        <w:spacing w:line="360" w:lineRule="auto"/>
        <w:jc w:val="both"/>
        <w:rPr>
          <w:color w:val="auto"/>
        </w:rPr>
      </w:pPr>
      <w:r>
        <w:rPr>
          <w:rFonts w:ascii="宋体" w:hAnsi="宋体" w:eastAsia="宋体" w:cs="宋体"/>
          <w:color w:val="auto"/>
          <w:sz w:val="21"/>
          <w:shd w:val="clear" w:fill="FFFFFF"/>
        </w:rPr>
        <w:t>3、中标人应在现场对设备进行调试和试运行，其内容如下：</w:t>
      </w:r>
    </w:p>
    <w:p>
      <w:pPr>
        <w:pStyle w:val="12"/>
        <w:spacing w:line="360" w:lineRule="auto"/>
        <w:jc w:val="both"/>
        <w:rPr>
          <w:color w:val="auto"/>
        </w:rPr>
      </w:pPr>
      <w:r>
        <w:rPr>
          <w:rFonts w:ascii="宋体" w:hAnsi="宋体" w:eastAsia="宋体" w:cs="宋体"/>
          <w:color w:val="auto"/>
          <w:sz w:val="21"/>
          <w:shd w:val="clear" w:fill="FFFFFF"/>
        </w:rPr>
        <w:t>a、进行设备的所有功能性运行；</w:t>
      </w:r>
    </w:p>
    <w:p>
      <w:pPr>
        <w:pStyle w:val="12"/>
        <w:spacing w:line="360" w:lineRule="auto"/>
        <w:jc w:val="both"/>
        <w:rPr>
          <w:color w:val="auto"/>
        </w:rPr>
      </w:pPr>
      <w:r>
        <w:rPr>
          <w:rFonts w:ascii="宋体" w:hAnsi="宋体" w:eastAsia="宋体" w:cs="宋体"/>
          <w:color w:val="auto"/>
          <w:sz w:val="21"/>
          <w:shd w:val="clear" w:fill="FFFFFF"/>
        </w:rPr>
        <w:t>b、安全装置检测。</w:t>
      </w:r>
    </w:p>
    <w:p>
      <w:pPr>
        <w:pStyle w:val="12"/>
        <w:spacing w:line="360" w:lineRule="auto"/>
        <w:jc w:val="both"/>
        <w:rPr>
          <w:color w:val="auto"/>
        </w:rPr>
      </w:pPr>
      <w:r>
        <w:rPr>
          <w:rFonts w:ascii="宋体" w:hAnsi="宋体" w:eastAsia="宋体" w:cs="宋体"/>
          <w:color w:val="auto"/>
          <w:sz w:val="21"/>
          <w:shd w:val="clear" w:fill="FFFFFF"/>
        </w:rPr>
        <w:t>4、相关技术人员持证上岗，建立安全责任制，确保施工过程不出现任何安全事故，否则，一切责任由中标人承担。</w:t>
      </w:r>
    </w:p>
    <w:p>
      <w:pPr>
        <w:pStyle w:val="12"/>
        <w:spacing w:line="360" w:lineRule="auto"/>
        <w:jc w:val="both"/>
        <w:rPr>
          <w:color w:val="auto"/>
        </w:rPr>
      </w:pPr>
      <w:r>
        <w:rPr>
          <w:rFonts w:ascii="宋体" w:hAnsi="宋体" w:eastAsia="宋体" w:cs="宋体"/>
          <w:color w:val="auto"/>
          <w:sz w:val="21"/>
          <w:shd w:val="clear" w:fill="FFFFFF"/>
        </w:rPr>
        <w:t>5、具备施工条件后再开始安装，整个安装工作期间，必须接受现场监理和招标人的统一管理、监督检查和指导。</w:t>
      </w:r>
    </w:p>
    <w:p>
      <w:pPr>
        <w:pStyle w:val="12"/>
        <w:spacing w:line="360" w:lineRule="auto"/>
        <w:jc w:val="both"/>
        <w:rPr>
          <w:color w:val="auto"/>
        </w:rPr>
      </w:pPr>
      <w:r>
        <w:rPr>
          <w:rFonts w:ascii="宋体" w:hAnsi="宋体" w:eastAsia="宋体" w:cs="宋体"/>
          <w:color w:val="auto"/>
          <w:sz w:val="21"/>
          <w:shd w:val="clear" w:fill="FFFFFF"/>
        </w:rPr>
        <w:t>6、招标人只提供临时水源、电源接入点，其他由中标人负责。</w:t>
      </w:r>
    </w:p>
    <w:p>
      <w:pPr>
        <w:pStyle w:val="12"/>
        <w:spacing w:line="360" w:lineRule="auto"/>
        <w:jc w:val="both"/>
        <w:rPr>
          <w:color w:val="auto"/>
        </w:rPr>
      </w:pPr>
      <w:r>
        <w:rPr>
          <w:rFonts w:ascii="宋体" w:hAnsi="宋体" w:eastAsia="宋体" w:cs="宋体"/>
          <w:color w:val="auto"/>
          <w:sz w:val="21"/>
          <w:shd w:val="clear" w:fill="FFFFFF"/>
        </w:rPr>
        <w:t>7、安装调试开始前必须通知招标人参加，并进行记录。</w:t>
      </w:r>
    </w:p>
    <w:p>
      <w:pPr>
        <w:pStyle w:val="12"/>
        <w:spacing w:line="360" w:lineRule="auto"/>
        <w:jc w:val="both"/>
        <w:rPr>
          <w:color w:val="auto"/>
        </w:rPr>
      </w:pPr>
      <w:r>
        <w:rPr>
          <w:rFonts w:ascii="宋体" w:hAnsi="宋体" w:eastAsia="宋体" w:cs="宋体"/>
          <w:color w:val="auto"/>
          <w:sz w:val="21"/>
          <w:shd w:val="clear" w:fill="FFFFFF"/>
        </w:rPr>
        <w:t>8、在进入完工装修之前，所有不需要特殊装修并且是暴露的钢制件应在表面进行除锈防腐处理，若是非暴露的零件、部件、机器等，可在制造时进行除锈、防腐蚀处理，其防腐蚀措施必须得到招标人的认可。</w:t>
      </w:r>
    </w:p>
    <w:p>
      <w:pPr>
        <w:pStyle w:val="12"/>
        <w:spacing w:line="360" w:lineRule="auto"/>
        <w:jc w:val="both"/>
        <w:rPr>
          <w:color w:val="auto"/>
        </w:rPr>
      </w:pPr>
      <w:r>
        <w:rPr>
          <w:rFonts w:ascii="宋体" w:hAnsi="宋体" w:eastAsia="宋体" w:cs="宋体"/>
          <w:color w:val="auto"/>
          <w:sz w:val="21"/>
          <w:shd w:val="clear" w:fill="FFFFFF"/>
        </w:rPr>
        <w:t>9、中标人未按操作规程施工，由此产生的一切损失由中标人自行承担。</w:t>
      </w:r>
    </w:p>
    <w:p>
      <w:pPr>
        <w:widowControl/>
        <w:spacing w:line="360" w:lineRule="auto"/>
        <w:rPr>
          <w:rFonts w:ascii="宋体" w:hAnsi="宋体" w:eastAsia="宋体" w:cs="宋体"/>
          <w:b/>
          <w:bCs/>
          <w:color w:val="auto"/>
          <w:szCs w:val="21"/>
        </w:rPr>
      </w:pPr>
      <w:r>
        <w:rPr>
          <w:rFonts w:hint="eastAsia" w:ascii="宋体" w:hAnsi="宋体" w:eastAsia="宋体" w:cs="宋体"/>
          <w:b/>
          <w:bCs/>
          <w:color w:val="auto"/>
          <w:szCs w:val="21"/>
          <w:lang w:val="en-US" w:eastAsia="zh-CN"/>
        </w:rPr>
        <w:t>三</w:t>
      </w:r>
      <w:r>
        <w:rPr>
          <w:rFonts w:hint="eastAsia" w:ascii="宋体" w:hAnsi="宋体" w:eastAsia="宋体" w:cs="宋体"/>
          <w:b/>
          <w:bCs/>
          <w:color w:val="auto"/>
          <w:szCs w:val="21"/>
        </w:rPr>
        <w:t>、售后服务要求</w:t>
      </w:r>
    </w:p>
    <w:p>
      <w:pPr>
        <w:widowControl/>
        <w:spacing w:line="360" w:lineRule="auto"/>
        <w:rPr>
          <w:rFonts w:hint="eastAsia" w:ascii="宋体" w:hAnsi="宋体" w:eastAsia="宋体" w:cs="宋体"/>
          <w:color w:val="auto"/>
          <w:sz w:val="21"/>
          <w:szCs w:val="21"/>
          <w:lang w:val="en-US" w:eastAsia="zh-CN"/>
        </w:rPr>
      </w:pPr>
      <w:r>
        <w:rPr>
          <w:rFonts w:hint="eastAsia" w:ascii="宋体" w:hAnsi="宋体" w:eastAsia="宋体" w:cs="宋体"/>
          <w:color w:val="auto"/>
          <w:szCs w:val="21"/>
        </w:rPr>
        <w:t>1、</w:t>
      </w:r>
      <w:r>
        <w:rPr>
          <w:rFonts w:hint="eastAsia" w:ascii="宋体" w:hAnsi="宋体" w:eastAsia="宋体" w:cs="Times New Roman"/>
          <w:color w:val="auto"/>
          <w:szCs w:val="21"/>
        </w:rPr>
        <w:t>整体项目免费保修期贰年。保修期内产品质量实行三包。</w:t>
      </w:r>
      <w:r>
        <w:rPr>
          <w:rFonts w:hint="eastAsia" w:ascii="宋体" w:hAnsi="宋体" w:eastAsia="宋体" w:cs="宋体"/>
          <w:color w:val="auto"/>
          <w:sz w:val="21"/>
          <w:szCs w:val="21"/>
          <w:lang w:val="en-US" w:eastAsia="zh-CN"/>
        </w:rPr>
        <w:t>投标人须提供针对本项目的售后服务方案，方案应包括：维保计划与方案、维保人员配备、培训方案、售后服务机构介绍等，方案完善、科学、合理，且实用性、针对性强的。</w:t>
      </w:r>
    </w:p>
    <w:p>
      <w:pPr>
        <w:widowControl/>
        <w:spacing w:line="360" w:lineRule="auto"/>
        <w:rPr>
          <w:rFonts w:ascii="Times New Roman" w:hAnsi="Times New Roman" w:eastAsia="宋体" w:cs="Times New Roman"/>
          <w:color w:val="auto"/>
          <w:szCs w:val="21"/>
        </w:rPr>
      </w:pPr>
      <w:r>
        <w:rPr>
          <w:rFonts w:hint="eastAsia" w:ascii="宋体" w:hAnsi="宋体" w:eastAsia="宋体" w:cs="宋体"/>
          <w:bCs/>
          <w:color w:val="auto"/>
          <w:szCs w:val="21"/>
          <w:lang w:val="en-US" w:eastAsia="zh-CN"/>
        </w:rPr>
        <w:t>2</w:t>
      </w:r>
      <w:r>
        <w:rPr>
          <w:rFonts w:hint="eastAsia" w:ascii="宋体" w:hAnsi="宋体" w:eastAsia="宋体" w:cs="宋体"/>
          <w:bCs/>
          <w:color w:val="auto"/>
          <w:szCs w:val="21"/>
        </w:rPr>
        <w:t>、</w:t>
      </w:r>
      <w:r>
        <w:rPr>
          <w:rFonts w:hint="eastAsia" w:ascii="宋体" w:hAnsi="宋体" w:eastAsia="宋体" w:cs="Times New Roman"/>
          <w:color w:val="auto"/>
          <w:szCs w:val="21"/>
        </w:rPr>
        <w:t>项目保修期自本项目整体安装调试完毕取得运行合格证且采购人组织专家验收合格之日起算</w:t>
      </w:r>
      <w:r>
        <w:rPr>
          <w:rFonts w:hint="eastAsia" w:ascii="宋体" w:hAnsi="宋体" w:eastAsia="宋体" w:cs="宋体"/>
          <w:bCs/>
          <w:color w:val="auto"/>
          <w:szCs w:val="21"/>
        </w:rPr>
        <w:t>。保修期内中标人负责提供保养及维修，所有主要部件或零部件的更换及维护等均要求进行上门服务，费用均包括在报价内。</w:t>
      </w:r>
    </w:p>
    <w:p>
      <w:pPr>
        <w:widowControl/>
        <w:spacing w:line="360" w:lineRule="auto"/>
        <w:rPr>
          <w:rFonts w:ascii="宋体" w:hAnsi="宋体" w:eastAsia="宋体" w:cs="宋体"/>
          <w:color w:val="auto"/>
        </w:rPr>
      </w:pPr>
      <w:r>
        <w:rPr>
          <w:rFonts w:hint="eastAsia" w:ascii="宋体" w:hAnsi="宋体" w:eastAsia="宋体" w:cs="宋体"/>
          <w:color w:val="auto"/>
          <w:lang w:val="en-US" w:eastAsia="zh-CN"/>
        </w:rPr>
        <w:t>3</w:t>
      </w:r>
      <w:r>
        <w:rPr>
          <w:rFonts w:hint="eastAsia" w:ascii="宋体" w:hAnsi="宋体" w:eastAsia="宋体" w:cs="宋体"/>
          <w:color w:val="auto"/>
        </w:rPr>
        <w:t>、保修期内出现任何质量问题（自然灾害等不可抗力除外），由中标人负责（承担全部工时费、设备材料费、管理费、财务费、运费等）更换或维修。</w:t>
      </w:r>
      <w:r>
        <w:rPr>
          <w:rFonts w:hint="eastAsia" w:ascii="宋体" w:hAnsi="宋体" w:eastAsia="宋体" w:cs="宋体"/>
          <w:bCs/>
          <w:color w:val="auto"/>
          <w:szCs w:val="21"/>
        </w:rPr>
        <w:t>保修期内由中标人承担本项目电梯设备的年检费</w:t>
      </w:r>
      <w:r>
        <w:rPr>
          <w:rFonts w:hint="eastAsia" w:ascii="宋体" w:hAnsi="宋体" w:eastAsia="宋体" w:cs="宋体"/>
          <w:color w:val="auto"/>
        </w:rPr>
        <w:t>用（三证）。</w:t>
      </w:r>
    </w:p>
    <w:p>
      <w:pPr>
        <w:widowControl/>
        <w:spacing w:line="360" w:lineRule="auto"/>
        <w:rPr>
          <w:rFonts w:ascii="宋体" w:hAnsi="宋体" w:eastAsia="宋体" w:cs="宋体"/>
          <w:color w:val="auto"/>
        </w:rPr>
      </w:pPr>
      <w:r>
        <w:rPr>
          <w:rFonts w:hint="eastAsia" w:ascii="宋体" w:hAnsi="宋体" w:eastAsia="宋体" w:cs="宋体"/>
          <w:color w:val="auto"/>
          <w:lang w:val="en-US" w:eastAsia="zh-CN"/>
        </w:rPr>
        <w:t>4</w:t>
      </w:r>
      <w:r>
        <w:rPr>
          <w:rFonts w:hint="eastAsia" w:ascii="宋体" w:hAnsi="宋体" w:eastAsia="宋体" w:cs="宋体"/>
          <w:color w:val="auto"/>
        </w:rPr>
        <w:t>、保修期内，中标人必须做到“先服务，后找原因”、“先补配件，后找原因”。</w:t>
      </w:r>
    </w:p>
    <w:p>
      <w:pPr>
        <w:widowControl/>
        <w:spacing w:line="360" w:lineRule="auto"/>
        <w:rPr>
          <w:rFonts w:hint="eastAsia" w:ascii="Times New Roman" w:hAnsi="Times New Roman" w:eastAsia="宋体" w:cs="宋体"/>
          <w:color w:val="auto"/>
          <w:szCs w:val="21"/>
        </w:rPr>
      </w:pPr>
      <w:r>
        <w:rPr>
          <w:rFonts w:hint="eastAsia" w:ascii="宋体" w:hAnsi="宋体" w:eastAsia="宋体" w:cs="宋体"/>
          <w:bCs/>
          <w:color w:val="auto"/>
          <w:szCs w:val="21"/>
          <w:lang w:val="en-US" w:eastAsia="zh-CN"/>
        </w:rPr>
        <w:t>5</w:t>
      </w:r>
      <w:r>
        <w:rPr>
          <w:rFonts w:hint="eastAsia" w:ascii="宋体" w:hAnsi="宋体" w:eastAsia="宋体" w:cs="宋体"/>
          <w:bCs/>
          <w:color w:val="auto"/>
          <w:szCs w:val="21"/>
        </w:rPr>
        <w:t>、中标人提供的</w:t>
      </w:r>
      <w:r>
        <w:rPr>
          <w:rFonts w:hint="eastAsia" w:ascii="宋体" w:hAnsi="宋体" w:eastAsia="宋体" w:cs="宋体"/>
          <w:color w:val="auto"/>
          <w:kern w:val="32"/>
          <w:szCs w:val="21"/>
        </w:rPr>
        <w:t>维护保养至少按每15天1次，做半月维保；每月做2次；每三个月做一次季度维保；每6个月做1次半年度保养；每12个月做一次年度保养。保修期</w:t>
      </w:r>
      <w:r>
        <w:rPr>
          <w:rFonts w:hint="eastAsia" w:ascii="Times New Roman" w:hAnsi="Times New Roman" w:eastAsia="宋体" w:cs="宋体"/>
          <w:color w:val="auto"/>
          <w:szCs w:val="21"/>
        </w:rPr>
        <w:t>结束前一个月，中标人应将所有电梯免费进行一次综合性的检查和试验，并免费矫正发现的问题。</w:t>
      </w:r>
    </w:p>
    <w:p>
      <w:pPr>
        <w:widowControl/>
        <w:spacing w:line="360" w:lineRule="auto"/>
        <w:rPr>
          <w:rFonts w:ascii="宋体" w:hAnsi="宋体" w:eastAsia="宋体" w:cs="宋体"/>
          <w:bCs/>
          <w:color w:val="auto"/>
          <w:szCs w:val="21"/>
        </w:rPr>
      </w:pPr>
      <w:r>
        <w:rPr>
          <w:rFonts w:hint="eastAsia" w:ascii="宋体" w:hAnsi="宋体" w:eastAsia="宋体" w:cs="宋体"/>
          <w:bCs/>
          <w:color w:val="auto"/>
          <w:szCs w:val="21"/>
          <w:lang w:val="en-US" w:eastAsia="zh-CN"/>
        </w:rPr>
        <w:t>6</w:t>
      </w:r>
      <w:r>
        <w:rPr>
          <w:rFonts w:hint="eastAsia" w:ascii="宋体" w:hAnsi="宋体" w:eastAsia="宋体" w:cs="宋体"/>
          <w:bCs/>
          <w:color w:val="auto"/>
          <w:szCs w:val="21"/>
        </w:rPr>
        <w:t>、故障响应</w:t>
      </w:r>
    </w:p>
    <w:p>
      <w:pPr>
        <w:widowControl/>
        <w:spacing w:line="360" w:lineRule="auto"/>
        <w:rPr>
          <w:rFonts w:ascii="宋体" w:hAnsi="宋体" w:eastAsia="宋体" w:cs="宋体"/>
          <w:color w:val="auto"/>
          <w:szCs w:val="21"/>
        </w:rPr>
      </w:pPr>
      <w:r>
        <w:rPr>
          <w:rFonts w:hint="eastAsia" w:ascii="宋体" w:hAnsi="宋体" w:eastAsia="宋体" w:cs="宋体"/>
          <w:bCs/>
          <w:color w:val="auto"/>
          <w:szCs w:val="21"/>
        </w:rPr>
        <w:t>（1）提供7×24小时的故障服务受理（包括节假日）。</w:t>
      </w:r>
    </w:p>
    <w:p>
      <w:pPr>
        <w:widowControl/>
        <w:adjustRightInd w:val="0"/>
        <w:snapToGrid w:val="0"/>
        <w:spacing w:line="360" w:lineRule="auto"/>
        <w:rPr>
          <w:rFonts w:ascii="宋体" w:hAnsi="宋体" w:eastAsia="宋体" w:cs="宋体"/>
          <w:bCs/>
          <w:color w:val="auto"/>
          <w:szCs w:val="21"/>
        </w:rPr>
      </w:pPr>
      <w:r>
        <w:rPr>
          <w:rFonts w:hint="eastAsia" w:ascii="宋体" w:hAnsi="宋体" w:eastAsia="宋体" w:cs="宋体"/>
          <w:bCs/>
          <w:color w:val="auto"/>
          <w:szCs w:val="21"/>
        </w:rPr>
        <w:t>（2）对重大故障提供7×24小时的现场支援，一般故障提供5×8小时的现场支援。接故障电话后立即响应，到达现场时间不超过1小时。</w:t>
      </w:r>
    </w:p>
    <w:p>
      <w:pPr>
        <w:widowControl/>
        <w:adjustRightInd w:val="0"/>
        <w:snapToGrid w:val="0"/>
        <w:spacing w:line="360" w:lineRule="auto"/>
        <w:rPr>
          <w:rFonts w:ascii="宋体" w:hAnsi="宋体" w:eastAsia="宋体" w:cs="宋体"/>
          <w:color w:val="auto"/>
          <w:szCs w:val="21"/>
        </w:rPr>
      </w:pPr>
      <w:r>
        <w:rPr>
          <w:rFonts w:hint="eastAsia" w:ascii="宋体" w:hAnsi="宋体" w:eastAsia="宋体" w:cs="宋体"/>
          <w:bCs/>
          <w:color w:val="auto"/>
          <w:szCs w:val="21"/>
        </w:rPr>
        <w:t>（3）</w:t>
      </w:r>
      <w:r>
        <w:rPr>
          <w:rFonts w:hint="eastAsia" w:ascii="宋体" w:hAnsi="宋体" w:eastAsia="宋体" w:cs="宋体"/>
          <w:color w:val="auto"/>
          <w:szCs w:val="21"/>
        </w:rPr>
        <w:t>故障处理时间：中标人</w:t>
      </w:r>
      <w:r>
        <w:rPr>
          <w:rFonts w:hint="eastAsia" w:ascii="宋体" w:hAnsi="宋体" w:eastAsia="宋体" w:cs="宋体"/>
          <w:color w:val="auto"/>
          <w:sz w:val="21"/>
          <w:szCs w:val="21"/>
        </w:rPr>
        <w:t>所投电梯制造商在</w:t>
      </w:r>
      <w:r>
        <w:rPr>
          <w:rFonts w:hint="eastAsia" w:ascii="宋体" w:hAnsi="宋体" w:eastAsia="宋体" w:cs="宋体"/>
          <w:color w:val="auto"/>
          <w:sz w:val="21"/>
          <w:szCs w:val="21"/>
          <w:lang w:val="en-US" w:eastAsia="zh-CN"/>
        </w:rPr>
        <w:t>项目所在城市</w:t>
      </w:r>
      <w:r>
        <w:rPr>
          <w:rFonts w:hint="eastAsia" w:ascii="宋体" w:hAnsi="宋体" w:eastAsia="宋体" w:cs="宋体"/>
          <w:color w:val="auto"/>
          <w:sz w:val="21"/>
          <w:szCs w:val="21"/>
        </w:rPr>
        <w:t>设有直属售后服务中心的</w:t>
      </w:r>
      <w:r>
        <w:rPr>
          <w:rFonts w:hint="eastAsia" w:ascii="宋体" w:hAnsi="宋体" w:cs="宋体"/>
          <w:color w:val="auto"/>
          <w:sz w:val="21"/>
          <w:szCs w:val="21"/>
          <w:lang w:eastAsia="zh-CN"/>
        </w:rPr>
        <w:t>，</w:t>
      </w:r>
      <w:r>
        <w:rPr>
          <w:rFonts w:hint="eastAsia" w:ascii="宋体" w:hAnsi="宋体" w:eastAsia="宋体" w:cs="宋体"/>
          <w:color w:val="auto"/>
          <w:szCs w:val="21"/>
        </w:rPr>
        <w:t>应对设备运行中出现的一般性故障应在2小时内解决；对重大故障应在24小时内解决。</w:t>
      </w:r>
      <w:r>
        <w:rPr>
          <w:rFonts w:hint="eastAsia" w:ascii="宋体" w:hAnsi="宋体" w:eastAsia="宋体" w:cs="宋体"/>
          <w:bCs/>
          <w:color w:val="auto"/>
          <w:szCs w:val="21"/>
        </w:rPr>
        <w:t>如需更换非常用配件，则应在72小时内发配件至现场并排除故障。</w:t>
      </w:r>
    </w:p>
    <w:p>
      <w:pPr>
        <w:widowControl/>
        <w:spacing w:line="360" w:lineRule="auto"/>
        <w:rPr>
          <w:rFonts w:ascii="宋体" w:hAnsi="宋体" w:eastAsia="宋体" w:cs="宋体"/>
          <w:bCs/>
          <w:color w:val="auto"/>
          <w:szCs w:val="21"/>
        </w:rPr>
      </w:pPr>
      <w:r>
        <w:rPr>
          <w:rFonts w:hint="eastAsia" w:ascii="宋体" w:hAnsi="宋体" w:eastAsia="宋体" w:cs="宋体"/>
          <w:bCs/>
          <w:color w:val="auto"/>
          <w:szCs w:val="21"/>
          <w:lang w:val="en-US" w:eastAsia="zh-CN"/>
        </w:rPr>
        <w:t>7</w:t>
      </w:r>
      <w:r>
        <w:rPr>
          <w:rFonts w:hint="eastAsia" w:ascii="宋体" w:hAnsi="宋体" w:eastAsia="宋体" w:cs="宋体"/>
          <w:bCs/>
          <w:color w:val="auto"/>
          <w:szCs w:val="21"/>
        </w:rPr>
        <w:t>、备品备件服务：常年备有电梯配件，能及时处理、更换损坏的零部件。在保修期内，因配件发生故障24小时内(从报修时间开始计算)不能修复，中标人必须免费提供同种规格配件进行更换，如不能提供同种规格型号的配件，用其他型号配件代替时，需经使用方同意，且不补差价。</w:t>
      </w:r>
    </w:p>
    <w:p>
      <w:pPr>
        <w:widowControl/>
        <w:spacing w:line="360" w:lineRule="auto"/>
        <w:rPr>
          <w:rFonts w:ascii="宋体" w:hAnsi="宋体" w:eastAsia="宋体" w:cs="宋体"/>
          <w:bCs/>
          <w:color w:val="auto"/>
          <w:szCs w:val="21"/>
        </w:rPr>
      </w:pPr>
      <w:r>
        <w:rPr>
          <w:rFonts w:hint="eastAsia" w:ascii="宋体" w:hAnsi="宋体" w:eastAsia="宋体" w:cs="宋体"/>
          <w:bCs/>
          <w:color w:val="auto"/>
          <w:szCs w:val="21"/>
          <w:lang w:val="en-US" w:eastAsia="zh-CN"/>
        </w:rPr>
        <w:t>8</w:t>
      </w:r>
      <w:r>
        <w:rPr>
          <w:rFonts w:hint="eastAsia" w:ascii="宋体" w:hAnsi="宋体" w:eastAsia="宋体" w:cs="宋体"/>
          <w:bCs/>
          <w:color w:val="auto"/>
          <w:szCs w:val="21"/>
        </w:rPr>
        <w:t>、本项目保修期内的所有维修、维护过程中的所有安全责任均由中标人负责。</w:t>
      </w:r>
    </w:p>
    <w:p>
      <w:pPr>
        <w:widowControl/>
        <w:spacing w:line="360" w:lineRule="auto"/>
        <w:ind w:left="628" w:leftChars="1" w:hanging="626" w:hangingChars="297"/>
        <w:rPr>
          <w:rFonts w:ascii="宋体" w:hAnsi="宋体" w:eastAsia="宋体" w:cs="宋体"/>
          <w:b/>
          <w:bCs/>
          <w:color w:val="auto"/>
          <w:szCs w:val="21"/>
        </w:rPr>
      </w:pPr>
      <w:r>
        <w:rPr>
          <w:rFonts w:hint="eastAsia" w:ascii="宋体" w:hAnsi="宋体" w:eastAsia="宋体" w:cs="宋体"/>
          <w:b/>
          <w:bCs/>
          <w:color w:val="auto"/>
          <w:szCs w:val="21"/>
          <w:lang w:val="en-US" w:eastAsia="zh-CN"/>
        </w:rPr>
        <w:t>四</w:t>
      </w:r>
      <w:r>
        <w:rPr>
          <w:rFonts w:hint="eastAsia" w:ascii="宋体" w:hAnsi="宋体" w:eastAsia="宋体" w:cs="宋体"/>
          <w:b/>
          <w:bCs/>
          <w:color w:val="auto"/>
          <w:szCs w:val="21"/>
        </w:rPr>
        <w:t>、其他要求及说明</w:t>
      </w:r>
    </w:p>
    <w:p>
      <w:pPr>
        <w:widowControl/>
        <w:spacing w:line="360" w:lineRule="auto"/>
        <w:rPr>
          <w:rFonts w:ascii="宋体" w:hAnsi="宋体" w:eastAsia="宋体" w:cs="宋体"/>
          <w:bCs/>
          <w:color w:val="auto"/>
          <w:szCs w:val="21"/>
        </w:rPr>
      </w:pPr>
      <w:r>
        <w:rPr>
          <w:rFonts w:hint="eastAsia" w:ascii="宋体" w:hAnsi="宋体" w:eastAsia="宋体" w:cs="宋体"/>
          <w:bCs/>
          <w:color w:val="auto"/>
          <w:szCs w:val="21"/>
        </w:rPr>
        <w:t>1、交货时间及地点</w:t>
      </w:r>
    </w:p>
    <w:p>
      <w:pPr>
        <w:widowControl/>
        <w:adjustRightInd w:val="0"/>
        <w:snapToGrid w:val="0"/>
        <w:spacing w:line="360" w:lineRule="auto"/>
        <w:rPr>
          <w:rFonts w:ascii="宋体" w:hAnsi="宋体" w:eastAsia="宋体" w:cs="宋体"/>
          <w:color w:val="auto"/>
          <w:szCs w:val="24"/>
        </w:rPr>
      </w:pPr>
      <w:r>
        <w:rPr>
          <w:rFonts w:hint="eastAsia" w:ascii="宋体" w:hAnsi="宋体" w:eastAsia="宋体" w:cs="宋体"/>
          <w:color w:val="auto"/>
          <w:szCs w:val="24"/>
        </w:rPr>
        <w:t>（1）交货时间：交</w:t>
      </w:r>
      <w:r>
        <w:rPr>
          <w:rFonts w:ascii="宋体" w:hAnsi="宋体" w:eastAsia="宋体" w:cs="宋体"/>
          <w:color w:val="auto"/>
          <w:szCs w:val="24"/>
        </w:rPr>
        <w:t>货时间：自</w:t>
      </w:r>
      <w:r>
        <w:rPr>
          <w:rFonts w:hint="eastAsia" w:ascii="宋体" w:hAnsi="宋体" w:eastAsia="宋体" w:cs="宋体"/>
          <w:color w:val="auto"/>
          <w:szCs w:val="24"/>
        </w:rPr>
        <w:t>招标人通知开工之日起</w:t>
      </w:r>
      <w:r>
        <w:rPr>
          <w:rFonts w:hint="eastAsia" w:ascii="宋体" w:hAnsi="宋体" w:eastAsia="宋体" w:cs="宋体"/>
          <w:color w:val="auto"/>
          <w:szCs w:val="24"/>
          <w:u w:val="single"/>
        </w:rPr>
        <w:t xml:space="preserve"> </w:t>
      </w:r>
      <w:r>
        <w:rPr>
          <w:rFonts w:hint="eastAsia" w:ascii="宋体" w:hAnsi="宋体" w:eastAsia="宋体" w:cs="宋体"/>
          <w:color w:val="auto"/>
          <w:szCs w:val="24"/>
          <w:u w:val="single"/>
          <w:lang w:val="en-US" w:eastAsia="zh-CN"/>
        </w:rPr>
        <w:t>30</w:t>
      </w:r>
      <w:r>
        <w:rPr>
          <w:rFonts w:hint="eastAsia" w:ascii="宋体" w:hAnsi="宋体" w:eastAsia="宋体" w:cs="宋体"/>
          <w:color w:val="auto"/>
          <w:szCs w:val="24"/>
          <w:u w:val="single"/>
        </w:rPr>
        <w:t xml:space="preserve"> </w:t>
      </w:r>
      <w:r>
        <w:rPr>
          <w:rFonts w:hint="eastAsia" w:ascii="宋体" w:hAnsi="宋体" w:eastAsia="宋体" w:cs="宋体"/>
          <w:color w:val="auto"/>
          <w:szCs w:val="24"/>
        </w:rPr>
        <w:t>个日历天货物到达指定现场；安装工期：自招标人通知安装之日起</w:t>
      </w:r>
      <w:r>
        <w:rPr>
          <w:rFonts w:hint="eastAsia" w:ascii="宋体" w:hAnsi="宋体" w:eastAsia="宋体" w:cs="宋体"/>
          <w:color w:val="auto"/>
          <w:szCs w:val="24"/>
          <w:u w:val="single"/>
        </w:rPr>
        <w:t xml:space="preserve"> </w:t>
      </w:r>
      <w:r>
        <w:rPr>
          <w:rFonts w:hint="eastAsia" w:ascii="宋体" w:hAnsi="宋体" w:eastAsia="宋体" w:cs="宋体"/>
          <w:color w:val="auto"/>
          <w:szCs w:val="24"/>
          <w:u w:val="single"/>
          <w:lang w:val="en-US" w:eastAsia="zh-CN"/>
        </w:rPr>
        <w:t>30</w:t>
      </w:r>
      <w:r>
        <w:rPr>
          <w:rFonts w:hint="eastAsia" w:ascii="宋体" w:hAnsi="宋体" w:eastAsia="宋体" w:cs="宋体"/>
          <w:color w:val="auto"/>
          <w:szCs w:val="24"/>
          <w:u w:val="single"/>
        </w:rPr>
        <w:t xml:space="preserve"> </w:t>
      </w:r>
      <w:r>
        <w:rPr>
          <w:rFonts w:hint="eastAsia" w:ascii="宋体" w:hAnsi="宋体" w:eastAsia="宋体" w:cs="宋体"/>
          <w:color w:val="auto"/>
          <w:szCs w:val="24"/>
        </w:rPr>
        <w:t>个日历天完成</w:t>
      </w:r>
      <w:r>
        <w:rPr>
          <w:rFonts w:ascii="宋体" w:hAnsi="宋体" w:eastAsia="宋体" w:cs="宋体"/>
          <w:color w:val="auto"/>
          <w:szCs w:val="24"/>
        </w:rPr>
        <w:t>安装调试</w:t>
      </w:r>
      <w:r>
        <w:rPr>
          <w:rFonts w:hint="eastAsia" w:ascii="宋体" w:hAnsi="宋体" w:eastAsia="宋体" w:cs="宋体"/>
          <w:color w:val="auto"/>
          <w:szCs w:val="24"/>
        </w:rPr>
        <w:t>、</w:t>
      </w:r>
      <w:r>
        <w:rPr>
          <w:rFonts w:ascii="宋体" w:hAnsi="宋体" w:eastAsia="宋体" w:cs="宋体"/>
          <w:color w:val="auto"/>
          <w:szCs w:val="24"/>
        </w:rPr>
        <w:t>验收并取得</w:t>
      </w:r>
      <w:r>
        <w:rPr>
          <w:rFonts w:hint="eastAsia" w:ascii="宋体" w:hAnsi="宋体" w:eastAsia="宋体" w:cs="宋体"/>
          <w:color w:val="auto"/>
          <w:szCs w:val="24"/>
        </w:rPr>
        <w:t>当地市</w:t>
      </w:r>
      <w:r>
        <w:rPr>
          <w:rFonts w:ascii="宋体" w:hAnsi="宋体" w:eastAsia="宋体" w:cs="宋体"/>
          <w:color w:val="auto"/>
          <w:szCs w:val="24"/>
        </w:rPr>
        <w:t>行政主管部门颁发的相应许可证。</w:t>
      </w:r>
    </w:p>
    <w:p>
      <w:pPr>
        <w:widowControl/>
        <w:adjustRightInd w:val="0"/>
        <w:snapToGrid w:val="0"/>
        <w:spacing w:line="360" w:lineRule="auto"/>
        <w:rPr>
          <w:rFonts w:ascii="宋体" w:hAnsi="宋体" w:eastAsia="宋体" w:cs="宋体"/>
          <w:color w:val="auto"/>
          <w:szCs w:val="24"/>
        </w:rPr>
      </w:pPr>
      <w:r>
        <w:rPr>
          <w:rFonts w:hint="eastAsia" w:ascii="宋体" w:hAnsi="宋体" w:eastAsia="宋体" w:cs="宋体"/>
          <w:color w:val="auto"/>
          <w:szCs w:val="24"/>
        </w:rPr>
        <w:t>（2）交货地点：采购人指定地点。</w:t>
      </w:r>
    </w:p>
    <w:p>
      <w:pPr>
        <w:widowControl/>
        <w:adjustRightInd w:val="0"/>
        <w:snapToGrid w:val="0"/>
        <w:spacing w:line="360" w:lineRule="auto"/>
        <w:rPr>
          <w:rFonts w:ascii="宋体" w:hAnsi="宋体" w:eastAsia="宋体" w:cs="宋体"/>
          <w:bCs/>
          <w:color w:val="auto"/>
          <w:szCs w:val="21"/>
          <w:highlight w:val="none"/>
        </w:rPr>
      </w:pPr>
      <w:r>
        <w:rPr>
          <w:rFonts w:hint="eastAsia" w:ascii="宋体" w:hAnsi="宋体" w:eastAsia="宋体" w:cs="宋体"/>
          <w:bCs/>
          <w:color w:val="auto"/>
          <w:szCs w:val="21"/>
          <w:highlight w:val="none"/>
        </w:rPr>
        <w:t>2、结算方法：</w:t>
      </w:r>
    </w:p>
    <w:p>
      <w:pPr>
        <w:widowControl/>
        <w:adjustRightInd w:val="0"/>
        <w:snapToGrid w:val="0"/>
        <w:spacing w:line="360" w:lineRule="auto"/>
        <w:rPr>
          <w:rFonts w:ascii="宋体" w:hAnsi="宋体" w:eastAsia="宋体" w:cs="宋体"/>
          <w:bCs/>
          <w:color w:val="auto"/>
          <w:highlight w:val="none"/>
        </w:rPr>
      </w:pPr>
      <w:r>
        <w:rPr>
          <w:rFonts w:hint="eastAsia" w:ascii="宋体" w:hAnsi="宋体" w:eastAsia="宋体" w:cs="宋体"/>
          <w:bCs/>
          <w:color w:val="auto"/>
          <w:szCs w:val="21"/>
          <w:highlight w:val="none"/>
        </w:rPr>
        <w:t>2.1付款人：</w:t>
      </w:r>
      <w:r>
        <w:rPr>
          <w:rFonts w:hint="eastAsia" w:ascii="宋体" w:hAnsi="宋体" w:eastAsia="宋体" w:cs="宋体"/>
          <w:color w:val="auto"/>
          <w:kern w:val="0"/>
          <w:sz w:val="21"/>
          <w:szCs w:val="20"/>
          <w:highlight w:val="none"/>
          <w:shd w:val="clear" w:fill="FFFFFF"/>
          <w:lang w:val="en-US" w:eastAsia="zh-Hans"/>
        </w:rPr>
        <w:t>长沙市中心医院</w:t>
      </w:r>
    </w:p>
    <w:p>
      <w:pPr>
        <w:widowControl/>
        <w:adjustRightInd w:val="0"/>
        <w:snapToGrid w:val="0"/>
        <w:spacing w:line="360" w:lineRule="auto"/>
        <w:rPr>
          <w:rFonts w:hint="eastAsia" w:ascii="Times New Roman" w:hAnsi="Times New Roman" w:eastAsia="宋体" w:cs="宋体"/>
          <w:color w:val="auto"/>
          <w:szCs w:val="21"/>
          <w:highlight w:val="none"/>
        </w:rPr>
      </w:pPr>
      <w:r>
        <w:rPr>
          <w:rFonts w:hint="eastAsia" w:ascii="宋体" w:hAnsi="宋体" w:eastAsia="宋体" w:cs="宋体"/>
          <w:color w:val="auto"/>
          <w:szCs w:val="24"/>
          <w:highlight w:val="none"/>
        </w:rPr>
        <w:t>2.2 付</w:t>
      </w:r>
      <w:r>
        <w:rPr>
          <w:rFonts w:hint="eastAsia" w:ascii="宋体" w:hAnsi="宋体" w:eastAsia="宋体" w:cs="宋体"/>
          <w:color w:val="auto"/>
          <w:kern w:val="0"/>
          <w:sz w:val="21"/>
          <w:szCs w:val="20"/>
          <w:highlight w:val="none"/>
          <w:shd w:val="clear" w:fill="FFFFFF"/>
          <w:lang w:val="en-US" w:eastAsia="zh-Hans"/>
        </w:rPr>
        <w:t>款方式：货到验收合格入库后，</w:t>
      </w:r>
      <w:r>
        <w:rPr>
          <w:rFonts w:hint="eastAsia" w:ascii="宋体" w:hAnsi="宋体" w:eastAsia="宋体" w:cs="宋体"/>
          <w:color w:val="auto"/>
          <w:kern w:val="0"/>
          <w:sz w:val="21"/>
          <w:szCs w:val="20"/>
          <w:highlight w:val="none"/>
          <w:shd w:val="clear" w:fill="FFFFFF"/>
          <w:lang w:val="en-US" w:eastAsia="zh-CN"/>
        </w:rPr>
        <w:t>中标人</w:t>
      </w:r>
      <w:r>
        <w:rPr>
          <w:rFonts w:hint="eastAsia" w:ascii="宋体" w:hAnsi="宋体" w:eastAsia="宋体" w:cs="宋体"/>
          <w:color w:val="auto"/>
          <w:kern w:val="0"/>
          <w:sz w:val="21"/>
          <w:szCs w:val="20"/>
          <w:highlight w:val="none"/>
          <w:shd w:val="clear" w:fill="FFFFFF"/>
          <w:lang w:val="en-US" w:eastAsia="zh-Hans"/>
        </w:rPr>
        <w:t>提供合法的正规发票，付合同款的90%，剩余10%的余款自产品安装使用经特检院验收之日起满两年后付清。(备注:合同总金额低于5万元的一次性100%，不留余款)。</w:t>
      </w:r>
    </w:p>
    <w:p>
      <w:pPr>
        <w:numPr>
          <w:ilvl w:val="0"/>
          <w:numId w:val="2"/>
        </w:numPr>
        <w:spacing w:line="360" w:lineRule="auto"/>
        <w:rPr>
          <w:color w:val="auto"/>
        </w:rPr>
      </w:pPr>
      <w:r>
        <w:rPr>
          <w:rFonts w:hint="eastAsia" w:ascii="宋体" w:hAnsi="宋体" w:eastAsia="宋体" w:cs="宋体"/>
          <w:b/>
          <w:color w:val="auto"/>
          <w:sz w:val="21"/>
          <w:shd w:val="clear" w:fill="FFFFFF"/>
          <w:lang w:val="en-US" w:eastAsia="zh-CN"/>
        </w:rPr>
        <w:t>五</w:t>
      </w:r>
      <w:r>
        <w:rPr>
          <w:rFonts w:ascii="宋体" w:hAnsi="宋体" w:eastAsia="宋体" w:cs="宋体"/>
          <w:b/>
          <w:color w:val="auto"/>
          <w:sz w:val="21"/>
          <w:shd w:val="clear" w:fill="FFFFFF"/>
        </w:rPr>
        <w:t>、验收</w:t>
      </w:r>
      <w:r>
        <w:rPr>
          <w:rFonts w:hint="eastAsia" w:ascii="宋体" w:hAnsi="宋体" w:eastAsia="宋体" w:cs="宋体"/>
          <w:b/>
          <w:color w:val="auto"/>
          <w:sz w:val="21"/>
          <w:shd w:val="clear" w:fill="FFFFFF"/>
          <w:lang w:eastAsia="zh-CN"/>
        </w:rPr>
        <w:t>（</w:t>
      </w:r>
      <w:r>
        <w:rPr>
          <w:rFonts w:hint="eastAsia" w:ascii="宋体" w:hAnsi="宋体" w:cs="宋体"/>
          <w:color w:val="auto"/>
          <w:sz w:val="21"/>
          <w:shd w:val="clear" w:fill="FFFFFF"/>
          <w:lang w:val="en-US" w:eastAsia="zh-CN"/>
        </w:rPr>
        <w:t>中标人签订合同前提供以下资料，否则取消中选资格。</w:t>
      </w:r>
      <w:r>
        <w:rPr>
          <w:rFonts w:hint="eastAsia" w:ascii="宋体" w:hAnsi="宋体" w:eastAsia="宋体" w:cs="宋体"/>
          <w:b/>
          <w:color w:val="auto"/>
          <w:sz w:val="21"/>
          <w:shd w:val="clear" w:fill="FFFFFF"/>
          <w:lang w:eastAsia="zh-CN"/>
        </w:rPr>
        <w:t>）</w:t>
      </w:r>
    </w:p>
    <w:p>
      <w:pPr>
        <w:pStyle w:val="12"/>
        <w:spacing w:line="360" w:lineRule="auto"/>
        <w:jc w:val="both"/>
        <w:rPr>
          <w:color w:val="auto"/>
        </w:rPr>
      </w:pPr>
      <w:r>
        <w:rPr>
          <w:rFonts w:ascii="宋体" w:hAnsi="宋体" w:eastAsia="宋体" w:cs="宋体"/>
          <w:color w:val="auto"/>
          <w:sz w:val="21"/>
          <w:shd w:val="clear" w:fill="FFFFFF"/>
        </w:rPr>
        <w:t>1、预验收</w:t>
      </w:r>
    </w:p>
    <w:p>
      <w:pPr>
        <w:pStyle w:val="12"/>
        <w:spacing w:line="360" w:lineRule="auto"/>
        <w:jc w:val="both"/>
        <w:rPr>
          <w:color w:val="auto"/>
        </w:rPr>
      </w:pPr>
      <w:r>
        <w:rPr>
          <w:rFonts w:ascii="宋体" w:hAnsi="宋体" w:eastAsia="宋体" w:cs="宋体"/>
          <w:color w:val="auto"/>
          <w:sz w:val="21"/>
          <w:shd w:val="clear" w:fill="FFFFFF"/>
        </w:rPr>
        <w:t>中标人完成合同范围的安装与调试等工作，并经过自查符合投标要求后，由招标人、中标人、进行预验收。当检验结果与要求不符时，应排除故障或消除缺陷，并重复进行相关项目的检验。检验结果仍不符合要求时，应按“合同条款”的有关规定处理。预验收，仅作为报检依据，不承担最后验收的责任。</w:t>
      </w:r>
    </w:p>
    <w:p>
      <w:pPr>
        <w:pStyle w:val="12"/>
        <w:spacing w:line="360" w:lineRule="auto"/>
        <w:jc w:val="both"/>
        <w:rPr>
          <w:color w:val="auto"/>
        </w:rPr>
      </w:pPr>
      <w:r>
        <w:rPr>
          <w:rFonts w:ascii="宋体" w:hAnsi="宋体" w:eastAsia="宋体" w:cs="宋体"/>
          <w:color w:val="auto"/>
          <w:sz w:val="21"/>
          <w:shd w:val="clear" w:fill="FFFFFF"/>
        </w:rPr>
        <w:t>2、最终验收</w:t>
      </w:r>
    </w:p>
    <w:p>
      <w:pPr>
        <w:pStyle w:val="12"/>
        <w:spacing w:line="360" w:lineRule="auto"/>
        <w:jc w:val="both"/>
        <w:rPr>
          <w:color w:val="auto"/>
        </w:rPr>
      </w:pPr>
      <w:r>
        <w:rPr>
          <w:rFonts w:ascii="宋体" w:hAnsi="宋体" w:eastAsia="宋体" w:cs="宋体"/>
          <w:color w:val="auto"/>
          <w:sz w:val="21"/>
          <w:shd w:val="clear" w:fill="FFFFFF"/>
        </w:rPr>
        <w:t>预验收后，由中标人负责向有关职能部门办理相应的验收手续，并获得许可证后，正式移交给招标人，视作最终验收通过。验收费用由中标人负责。</w:t>
      </w:r>
    </w:p>
    <w:p>
      <w:pPr>
        <w:pStyle w:val="12"/>
        <w:spacing w:line="360" w:lineRule="auto"/>
        <w:jc w:val="both"/>
        <w:rPr>
          <w:color w:val="auto"/>
        </w:rPr>
      </w:pPr>
      <w:r>
        <w:rPr>
          <w:rFonts w:ascii="宋体" w:hAnsi="宋体" w:eastAsia="宋体" w:cs="宋体"/>
          <w:color w:val="auto"/>
          <w:sz w:val="21"/>
          <w:shd w:val="clear" w:fill="FFFFFF"/>
        </w:rPr>
        <w:t>3、当满足以下条件时，招标人向中标人签发验收合格报告：</w:t>
      </w:r>
    </w:p>
    <w:p>
      <w:pPr>
        <w:pStyle w:val="12"/>
        <w:spacing w:line="360" w:lineRule="auto"/>
        <w:jc w:val="both"/>
        <w:rPr>
          <w:color w:val="auto"/>
        </w:rPr>
      </w:pPr>
      <w:r>
        <w:rPr>
          <w:rFonts w:ascii="宋体" w:hAnsi="宋体" w:eastAsia="宋体" w:cs="宋体"/>
          <w:color w:val="auto"/>
          <w:sz w:val="21"/>
          <w:shd w:val="clear" w:fill="FFFFFF"/>
        </w:rPr>
        <w:t>3.1、中标人已提供了合同中约定的全部设备及完整的技术资料并安装调试完毕；</w:t>
      </w:r>
    </w:p>
    <w:p>
      <w:pPr>
        <w:pStyle w:val="12"/>
        <w:spacing w:line="360" w:lineRule="auto"/>
        <w:jc w:val="both"/>
        <w:rPr>
          <w:color w:val="auto"/>
        </w:rPr>
      </w:pPr>
      <w:r>
        <w:rPr>
          <w:rFonts w:ascii="宋体" w:hAnsi="宋体" w:eastAsia="宋体" w:cs="宋体"/>
          <w:color w:val="auto"/>
          <w:sz w:val="21"/>
          <w:shd w:val="clear" w:fill="FFFFFF"/>
        </w:rPr>
        <w:t>3.2、中标人提供的设备应当符合本项目技术规格及性能要求；</w:t>
      </w:r>
    </w:p>
    <w:p>
      <w:pPr>
        <w:pStyle w:val="12"/>
        <w:spacing w:line="360" w:lineRule="auto"/>
        <w:jc w:val="both"/>
        <w:rPr>
          <w:color w:val="auto"/>
        </w:rPr>
      </w:pPr>
      <w:r>
        <w:rPr>
          <w:rFonts w:ascii="宋体" w:hAnsi="宋体" w:eastAsia="宋体" w:cs="宋体"/>
          <w:color w:val="auto"/>
          <w:sz w:val="21"/>
          <w:shd w:val="clear" w:fill="FFFFFF"/>
        </w:rPr>
        <w:t>3.3、中标人完成最终验收；</w:t>
      </w:r>
    </w:p>
    <w:p>
      <w:pPr>
        <w:spacing w:line="360" w:lineRule="auto"/>
        <w:rPr>
          <w:rFonts w:ascii="宋体" w:hAnsi="宋体" w:eastAsia="宋体" w:cs="宋体"/>
          <w:color w:val="auto"/>
          <w:sz w:val="21"/>
          <w:shd w:val="clear" w:fill="FFFFFF"/>
        </w:rPr>
      </w:pPr>
      <w:r>
        <w:rPr>
          <w:rFonts w:ascii="宋体" w:hAnsi="宋体" w:eastAsia="宋体" w:cs="宋体"/>
          <w:color w:val="auto"/>
          <w:sz w:val="21"/>
          <w:shd w:val="clear" w:fill="FFFFFF"/>
        </w:rPr>
        <w:t>3.4、中标人提供</w:t>
      </w:r>
      <w:r>
        <w:rPr>
          <w:rFonts w:hint="eastAsia" w:ascii="宋体" w:hAnsi="宋体" w:eastAsia="宋体" w:cs="宋体"/>
          <w:color w:val="auto"/>
          <w:sz w:val="21"/>
          <w:shd w:val="clear" w:fill="FFFFFF"/>
          <w:lang w:val="en-US" w:eastAsia="zh-CN"/>
        </w:rPr>
        <w:t>2</w:t>
      </w:r>
      <w:r>
        <w:rPr>
          <w:rFonts w:ascii="宋体" w:hAnsi="宋体" w:eastAsia="宋体" w:cs="宋体"/>
          <w:color w:val="auto"/>
          <w:sz w:val="21"/>
          <w:shd w:val="clear" w:fill="FFFFFF"/>
        </w:rPr>
        <w:t>套完整的竣工资料给招标人。</w:t>
      </w:r>
    </w:p>
    <w:p>
      <w:pPr>
        <w:numPr>
          <w:ilvl w:val="0"/>
          <w:numId w:val="0"/>
        </w:numPr>
        <w:spacing w:line="360" w:lineRule="auto"/>
        <w:rPr>
          <w:rFonts w:hint="eastAsia" w:ascii="宋体" w:hAnsi="宋体" w:cs="宋体"/>
          <w:color w:val="auto"/>
          <w:kern w:val="0"/>
          <w:sz w:val="21"/>
          <w:szCs w:val="21"/>
          <w:lang w:val="en-US" w:eastAsia="zh-CN"/>
        </w:rPr>
      </w:pPr>
    </w:p>
    <w:bookmarkEnd w:id="2"/>
    <w:sectPr>
      <w:headerReference r:id="rId3" w:type="default"/>
      <w:footerReference r:id="rId4"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25" w:line="241" w:lineRule="auto"/>
      <w:ind w:right="21"/>
      <w:jc w:val="right"/>
      <w:rPr>
        <w:rFonts w:ascii="楷体" w:hAnsi="楷体" w:eastAsia="楷体" w:cs="楷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0"/>
      </w:pBdr>
      <w:spacing w:before="82" w:line="225" w:lineRule="auto"/>
      <w:ind w:right="24"/>
      <w:jc w:val="right"/>
      <w:rPr>
        <w:rFonts w:ascii="楷体" w:hAnsi="楷体" w:eastAsia="楷体" w:cs="楷体"/>
        <w:sz w:val="21"/>
        <w:szCs w:val="21"/>
      </w:rPr>
    </w:pPr>
    <w:r>
      <mc:AlternateContent>
        <mc:Choice Requires="wps">
          <w:drawing>
            <wp:anchor distT="0" distB="0" distL="114300" distR="114300" simplePos="0" relativeHeight="251659264" behindDoc="0" locked="0" layoutInCell="0" allowOverlap="1">
              <wp:simplePos x="0" y="0"/>
              <wp:positionH relativeFrom="page">
                <wp:posOffset>1124585</wp:posOffset>
              </wp:positionH>
              <wp:positionV relativeFrom="page">
                <wp:posOffset>631190</wp:posOffset>
              </wp:positionV>
              <wp:extent cx="5525135" cy="3175"/>
              <wp:effectExtent l="0" t="0" r="0" b="0"/>
              <wp:wrapNone/>
              <wp:docPr id="1" name="任意多边形 1"/>
              <wp:cNvGraphicFramePr/>
              <a:graphic xmlns:a="http://schemas.openxmlformats.org/drawingml/2006/main">
                <a:graphicData uri="http://schemas.microsoft.com/office/word/2010/wordprocessingShape">
                  <wps:wsp>
                    <wps:cNvSpPr/>
                    <wps:spPr>
                      <a:xfrm>
                        <a:off x="0" y="0"/>
                        <a:ext cx="5525135" cy="3175"/>
                      </a:xfrm>
                      <a:custGeom>
                        <a:avLst/>
                        <a:gdLst/>
                        <a:ahLst/>
                        <a:cxnLst/>
                        <a:pathLst>
                          <a:path w="8700" h="5">
                            <a:moveTo>
                              <a:pt x="0" y="4"/>
                            </a:moveTo>
                            <a:lnTo>
                              <a:pt x="8700" y="4"/>
                            </a:lnTo>
                            <a:lnTo>
                              <a:pt x="8700" y="0"/>
                            </a:lnTo>
                            <a:lnTo>
                              <a:pt x="0" y="0"/>
                            </a:lnTo>
                            <a:lnTo>
                              <a:pt x="0" y="4"/>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88.55pt;margin-top:49.7pt;height:0.25pt;width:435.05pt;mso-position-horizontal-relative:page;mso-position-vertical-relative:page;z-index:251659264;mso-width-relative:page;mso-height-relative:page;" fillcolor="#000000" filled="t" stroked="f" coordsize="8700,5" o:allowincell="f" o:gfxdata="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OK9pX1wAAAAoBAAAPAAAAAAAAAAEAIAAAACIAAABkcnMvZG93bnJldi54bWxQSwEC&#10;FAAUAAAACACHTuJAmFraifUBAAAqBAAADgAAAAAAAAABACAAAAAmAQAAZHJzL2Uyb0RvYy54bWxQ&#10;SwUGAAAAAAYABgBZAQAAjQUAAAAA&#10;" path="m0,4l8700,4,8700,0,0,0,0,4xe">
              <v:fill on="t" focussize="0,0"/>
              <v:stroke on="f"/>
              <v:imagedata o:title=""/>
              <o:lock v:ext="edit" aspectratio="f"/>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BA4333"/>
    <w:multiLevelType w:val="singleLevel"/>
    <w:tmpl w:val="68BA4333"/>
    <w:lvl w:ilvl="0" w:tentative="0">
      <w:start w:val="4"/>
      <w:numFmt w:val="decimal"/>
      <w:suff w:val="nothing"/>
      <w:lvlText w:val="%1、"/>
      <w:lvlJc w:val="left"/>
    </w:lvl>
  </w:abstractNum>
  <w:abstractNum w:abstractNumId="1">
    <w:nsid w:val="68BA453A"/>
    <w:multiLevelType w:val="singleLevel"/>
    <w:tmpl w:val="68BA453A"/>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F72A32"/>
    <w:rsid w:val="010A187D"/>
    <w:rsid w:val="18626802"/>
    <w:rsid w:val="199426A1"/>
    <w:rsid w:val="2136082C"/>
    <w:rsid w:val="259D3B7B"/>
    <w:rsid w:val="37910D95"/>
    <w:rsid w:val="39E3320C"/>
    <w:rsid w:val="3AC57619"/>
    <w:rsid w:val="53F36AB1"/>
    <w:rsid w:val="56F72A32"/>
    <w:rsid w:val="5DB97DD0"/>
    <w:rsid w:val="69012206"/>
    <w:rsid w:val="73A32495"/>
    <w:rsid w:val="773E1AC5"/>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pPr>
      <w:spacing w:line="360" w:lineRule="auto"/>
    </w:pPr>
    <w:rPr>
      <w:sz w:val="24"/>
    </w:rPr>
  </w:style>
  <w:style w:type="paragraph" w:styleId="3">
    <w:name w:val="Body Text Indent 3"/>
    <w:basedOn w:val="1"/>
    <w:qFormat/>
    <w:uiPriority w:val="0"/>
    <w:pPr>
      <w:spacing w:after="120"/>
      <w:ind w:left="420" w:leftChars="200"/>
    </w:pPr>
    <w:rPr>
      <w:sz w:val="16"/>
      <w:szCs w:val="16"/>
    </w:rPr>
  </w:style>
  <w:style w:type="paragraph" w:styleId="4">
    <w:name w:val="Title"/>
    <w:basedOn w:val="1"/>
    <w:next w:val="1"/>
    <w:qFormat/>
    <w:uiPriority w:val="10"/>
    <w:pPr>
      <w:spacing w:before="240" w:after="60"/>
      <w:jc w:val="center"/>
      <w:outlineLvl w:val="0"/>
    </w:pPr>
    <w:rPr>
      <w:rFonts w:ascii="等线 Light" w:hAnsi="等线 Light"/>
      <w:b/>
      <w:bCs/>
      <w:sz w:val="32"/>
      <w:szCs w:val="32"/>
    </w:rPr>
  </w:style>
  <w:style w:type="paragraph" w:customStyle="1" w:styleId="7">
    <w:name w:val="Normal_2"/>
    <w:qFormat/>
    <w:uiPriority w:val="0"/>
    <w:rPr>
      <w:rFonts w:ascii="Times New Roman" w:hAnsi="Times New Roman" w:eastAsia="宋体" w:cs="Times New Roman"/>
      <w:sz w:val="24"/>
      <w:szCs w:val="24"/>
      <w:lang w:val="en-US" w:eastAsia="zh-CN" w:bidi="ar-SA"/>
    </w:rPr>
  </w:style>
  <w:style w:type="paragraph" w:customStyle="1" w:styleId="8">
    <w:name w:val="Normal_0_1"/>
    <w:qFormat/>
    <w:uiPriority w:val="0"/>
    <w:rPr>
      <w:rFonts w:ascii="Times New Roman" w:hAnsi="Times New Roman" w:eastAsia="Times New Roman" w:cs="Times New Roman"/>
      <w:sz w:val="24"/>
      <w:szCs w:val="24"/>
      <w:lang w:val="en-US" w:eastAsia="zh-CN" w:bidi="ar-SA"/>
    </w:rPr>
  </w:style>
  <w:style w:type="paragraph" w:customStyle="1" w:styleId="9">
    <w:name w:val="Table Text"/>
    <w:basedOn w:val="1"/>
    <w:semiHidden/>
    <w:qFormat/>
    <w:uiPriority w:val="0"/>
    <w:rPr>
      <w:rFonts w:ascii="宋体" w:hAnsi="宋体" w:eastAsia="宋体" w:cs="宋体"/>
      <w:sz w:val="21"/>
      <w:szCs w:val="21"/>
      <w:lang w:val="en-US" w:eastAsia="en-US" w:bidi="ar-SA"/>
    </w:rPr>
  </w:style>
  <w:style w:type="paragraph" w:customStyle="1" w:styleId="10">
    <w:name w:val="Normal_0_2"/>
    <w:qFormat/>
    <w:uiPriority w:val="0"/>
    <w:rPr>
      <w:rFonts w:ascii="Times New Roman" w:hAnsi="Times New Roman" w:eastAsia="Times New Roman" w:cs="Times New Roman"/>
      <w:sz w:val="24"/>
      <w:szCs w:val="24"/>
      <w:lang w:val="en-US" w:eastAsia="zh-CN" w:bidi="ar-SA"/>
    </w:rPr>
  </w:style>
  <w:style w:type="table" w:customStyle="1" w:styleId="11">
    <w:name w:val="Table Normal"/>
    <w:unhideWhenUsed/>
    <w:qFormat/>
    <w:uiPriority w:val="0"/>
    <w:tblPr>
      <w:tblLayout w:type="fixed"/>
      <w:tblCellMar>
        <w:top w:w="0" w:type="dxa"/>
        <w:left w:w="0" w:type="dxa"/>
        <w:bottom w:w="0" w:type="dxa"/>
        <w:right w:w="0" w:type="dxa"/>
      </w:tblCellMar>
    </w:tblPr>
  </w:style>
  <w:style w:type="paragraph" w:customStyle="1" w:styleId="12">
    <w:name w:val="null3"/>
    <w:hidden/>
    <w:qFormat/>
    <w:uiPriority w:val="0"/>
    <w:rPr>
      <w:rFonts w:hint="eastAsia" w:asciiTheme="minorHAnsi" w:hAnsiTheme="minorHAnsi" w:eastAsiaTheme="minorEastAsia" w:cstheme="minorBidi"/>
      <w:lang w:val="en-US" w:eastAsia="zh-Hans"/>
    </w:rPr>
  </w:style>
  <w:style w:type="paragraph" w:customStyle="1" w:styleId="13">
    <w:name w:val="样式 小四 行距: 1.5 倍行距"/>
    <w:basedOn w:val="1"/>
    <w:qFormat/>
    <w:uiPriority w:val="0"/>
    <w:pPr>
      <w:ind w:firstLine="480"/>
    </w:pPr>
    <w:rPr>
      <w:rFonts w:cs="宋体"/>
      <w:szCs w:val="20"/>
    </w:rPr>
  </w:style>
  <w:style w:type="paragraph" w:customStyle="1" w:styleId="14">
    <w:name w:val="正文_0"/>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716</Words>
  <Characters>726</Characters>
  <Lines>0</Lines>
  <Paragraphs>0</Paragraphs>
  <ScaleCrop>false</ScaleCrop>
  <LinksUpToDate>false</LinksUpToDate>
  <CharactersWithSpaces>735</CharactersWithSpaces>
  <Application>WPS Office_10.1.0.5740_F1E327BC-269C-435d-A152-05C5408002CA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2025-08-07T02:38:00Z</dcterms:created>
  <dc:creator>批注</dc:creator>
  <cp:lastModifiedBy>admin</cp:lastModifiedBy>
  <dcterms:modified xsi:type="dcterms:W3CDTF">2025-09-05T08:57:26Z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2052-10.1.0.5740</vt:lpwstr>
  </property>
  <property fmtid="{D5CDD505-2E9C-101B-9397-08002B2CF9AE}" pid="3" name="ICV">
    <vt:lpwstr>F3BF04436C8946DEA60B5477ABA7990A_11</vt:lpwstr>
  </property>
  <property fmtid="{D5CDD505-2E9C-101B-9397-08002B2CF9AE}" pid="4" name="KSOTemplateDocerSaveRecord">
    <vt:lpwstr>eyJoZGlkIjoiYTJmYjY4NjgxM2ZjYTRjYWNiODY2NjkwYmZjYzFkODUiLCJ1c2VySWQiOiIxNTk1NjAxOTY5In0=</vt:lpwstr>
  </property>
</Properties>
</file>