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ind w:left="907" w:hanging="907"/>
        <w:jc w:val="both"/>
        <w:textAlignment w:val="center"/>
        <w:outlineLvl w:val="0"/>
        <w:rPr>
          <w:rFonts w:hint="default" w:asciiTheme="minorEastAsia" w:hAnsiTheme="minor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附件3：</w:t>
      </w:r>
      <w:bookmarkStart w:id="0" w:name="_GoBack"/>
      <w:bookmarkEnd w:id="0"/>
    </w:p>
    <w:p>
      <w:pPr>
        <w:topLinePunct/>
        <w:spacing w:line="560" w:lineRule="exact"/>
        <w:ind w:left="907" w:hanging="907"/>
        <w:jc w:val="center"/>
        <w:textAlignment w:val="center"/>
        <w:outlineLvl w:val="0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车辆定点保险服务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参数</w:t>
      </w:r>
    </w:p>
    <w:p>
      <w:pPr>
        <w:spacing w:line="560" w:lineRule="exact"/>
        <w:ind w:left="-2" w:leftChars="-1"/>
        <w:jc w:val="center"/>
        <w:textAlignment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长沙市中心医院车辆定点保险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val="en-US" w:eastAsia="zh-CN"/>
        </w:rPr>
        <w:t>明细表如下，参保时间为一年。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792"/>
        <w:gridCol w:w="4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792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车牌号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保险起止时间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湘A-4597F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2024.8.22至2025.8.21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湘A-KV391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2024.2.18至2025.2.18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湘A-7M60B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2024.11.20至2025.11.19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湘A-7B60U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2024.11.28至2025.11.27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湘A-UX521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2024.11.8至2025.11.7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湘A-S7935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2024.7.20至2025.7.19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湘A-U1278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2024.7.19至2025.7.18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湘A-W3198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2024.7.20至2025.7.19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湘A-DF1027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2024.1.22至2025.1.21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湘A-DK8017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2024.1.22至2025.1.21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792" w:type="dxa"/>
            <w:vAlign w:val="center"/>
          </w:tcPr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湘A-R6B25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2024.3.30至2025.3.29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792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湘A-P11H9</w:t>
            </w:r>
          </w:p>
        </w:tc>
        <w:tc>
          <w:tcPr>
            <w:tcW w:w="4831" w:type="dxa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2024.12.26至2025.12.25</w:t>
            </w:r>
          </w:p>
        </w:tc>
      </w:tr>
    </w:tbl>
    <w:p>
      <w:pPr>
        <w:pStyle w:val="2"/>
        <w:numPr>
          <w:ilvl w:val="0"/>
          <w:numId w:val="0"/>
        </w:numPr>
      </w:pPr>
    </w:p>
    <w:p>
      <w:pPr>
        <w:widowControl w:val="0"/>
        <w:tabs>
          <w:tab w:val="left" w:pos="360"/>
        </w:tabs>
        <w:spacing w:line="360" w:lineRule="auto"/>
        <w:ind w:firstLine="562" w:firstLineChars="200"/>
        <w:jc w:val="both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kern w:val="2"/>
          <w:sz w:val="28"/>
          <w:szCs w:val="28"/>
        </w:rPr>
        <w:t>第二条</w:t>
      </w:r>
      <w:r>
        <w:rPr>
          <w:rFonts w:hint="eastAsia" w:asciiTheme="minorEastAsia" w:hAnsiTheme="minorEastAsia" w:eastAsiaTheme="minorEastAsia"/>
          <w:b/>
          <w:color w:val="000000"/>
          <w:kern w:val="2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车辆投保的险种为：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机动车交通事故责任强制保险（只限地方牌照投保）、车辆损失险、第三者责任险（100万）、车上人员责任险（2万元/座）。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投标方报价含车船使用税。</w:t>
      </w:r>
    </w:p>
    <w:p>
      <w:pPr>
        <w:widowControl w:val="0"/>
        <w:spacing w:line="360" w:lineRule="auto"/>
        <w:ind w:firstLine="562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kern w:val="2"/>
          <w:sz w:val="28"/>
          <w:szCs w:val="28"/>
        </w:rPr>
        <w:t>第三条</w:t>
      </w:r>
      <w:r>
        <w:rPr>
          <w:rFonts w:hint="eastAsia" w:asciiTheme="minorEastAsia" w:hAnsiTheme="minorEastAsia" w:eastAsiaTheme="minorEastAsia"/>
          <w:b/>
          <w:kern w:val="2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车辆的保险费率按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的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中标费率执行,其保险责任不变。</w:t>
      </w:r>
    </w:p>
    <w:p>
      <w:pPr>
        <w:widowControl w:val="0"/>
        <w:spacing w:line="360" w:lineRule="auto"/>
        <w:ind w:firstLine="562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kern w:val="2"/>
          <w:sz w:val="28"/>
          <w:szCs w:val="28"/>
        </w:rPr>
        <w:t>第四条</w:t>
      </w:r>
      <w:r>
        <w:rPr>
          <w:rFonts w:hint="eastAsia" w:asciiTheme="minorEastAsia" w:hAnsiTheme="minorEastAsia" w:eastAsiaTheme="minorEastAsia"/>
          <w:b/>
          <w:color w:val="000000"/>
          <w:kern w:val="2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承保</w:t>
      </w:r>
    </w:p>
    <w:p>
      <w:pPr>
        <w:widowControl w:val="0"/>
        <w:spacing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1、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具体负责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投保车辆的承保工作，由专人负责与车属单位车辆管理部门的对口联系，负责车辆的承保和理赔工作。</w:t>
      </w:r>
    </w:p>
    <w:p>
      <w:pPr>
        <w:widowControl w:val="0"/>
        <w:spacing w:line="360" w:lineRule="auto"/>
        <w:ind w:firstLine="562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kern w:val="2"/>
          <w:sz w:val="28"/>
          <w:szCs w:val="28"/>
        </w:rPr>
        <w:t>第五条</w:t>
      </w:r>
      <w:r>
        <w:rPr>
          <w:rFonts w:hint="eastAsia" w:asciiTheme="minorEastAsia" w:hAnsiTheme="minorEastAsia" w:eastAsiaTheme="minorEastAsia"/>
          <w:b/>
          <w:color w:val="000000"/>
          <w:kern w:val="2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理赔</w:t>
      </w:r>
    </w:p>
    <w:p>
      <w:pPr>
        <w:widowControl w:val="0"/>
        <w:spacing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1.报案：</w:t>
      </w:r>
    </w:p>
    <w:p>
      <w:pPr>
        <w:widowControl w:val="0"/>
        <w:spacing w:line="360" w:lineRule="auto"/>
        <w:ind w:firstLine="660" w:firstLineChars="236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车辆出险后，投保单位应按约定的方式向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报案。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报案电话：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，值班电话：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。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应24小时接受报案。</w:t>
      </w:r>
    </w:p>
    <w:p>
      <w:pPr>
        <w:widowControl w:val="0"/>
        <w:spacing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2.定损：</w:t>
      </w:r>
    </w:p>
    <w:p>
      <w:pPr>
        <w:widowControl w:val="0"/>
        <w:spacing w:line="360" w:lineRule="auto"/>
        <w:ind w:firstLine="56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接到车辆出险报案后，定损人员将尽快赶赴现场，以“迅速、准确、合理”的原则尽快定损。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为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投保车辆提供24小时定损服务。</w:t>
      </w:r>
    </w:p>
    <w:p>
      <w:pPr>
        <w:widowControl w:val="0"/>
        <w:spacing w:after="120"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对在异地出险的投保车辆，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定损人员将尽快赶赴现场或尽快委托当地保险公司代查勘定损，以便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尽快修复车辆、处理事故、申请索赔。</w:t>
      </w:r>
    </w:p>
    <w:p>
      <w:pPr>
        <w:widowControl w:val="0"/>
        <w:spacing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3.理赔：</w:t>
      </w:r>
    </w:p>
    <w:p>
      <w:pPr>
        <w:widowControl w:val="0"/>
        <w:spacing w:line="360" w:lineRule="auto"/>
        <w:ind w:firstLine="56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对出险车辆的索赔，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承诺在手续齐备后的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u w:val="single"/>
        </w:rPr>
        <w:t>1-3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个工作日内一次付清赔款，并提供最大限度的优质服务。</w:t>
      </w:r>
    </w:p>
    <w:p>
      <w:pPr>
        <w:widowControl w:val="0"/>
        <w:spacing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4.理赔过程中的服务：</w:t>
      </w:r>
    </w:p>
    <w:p>
      <w:pPr>
        <w:widowControl w:val="0"/>
        <w:spacing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4.1.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投保车辆出险后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承诺对肇事定损金额在2000元以下的，由有关方面出具证明后即可索赔。</w:t>
      </w:r>
    </w:p>
    <w:p>
      <w:pPr>
        <w:widowControl w:val="0"/>
        <w:spacing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4.2.交通事故伤员住院医疗费垫付：</w:t>
      </w:r>
    </w:p>
    <w:p>
      <w:pPr>
        <w:widowControl w:val="0"/>
        <w:spacing w:line="360" w:lineRule="auto"/>
        <w:ind w:firstLine="538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对上述车辆在长沙市城区范围内发生交通事故，致使第三者或车上人员遭受伤害，在伤员送往市级以上医院治疗的情况下，经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和交通事故处理部门共同确认，依法应由车主方垫付和承担的住院医疗费，由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按有关规定先行支付50%的预付款或提前赔付。</w:t>
      </w:r>
    </w:p>
    <w:p>
      <w:pPr>
        <w:widowControl w:val="0"/>
        <w:spacing w:line="360" w:lineRule="auto"/>
        <w:ind w:firstLine="562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kern w:val="2"/>
          <w:sz w:val="28"/>
          <w:szCs w:val="28"/>
        </w:rPr>
        <w:t>第六条</w:t>
      </w:r>
      <w:r>
        <w:rPr>
          <w:rFonts w:hint="eastAsia" w:asciiTheme="minorEastAsia" w:hAnsiTheme="minorEastAsia" w:eastAsiaTheme="minorEastAsia"/>
          <w:b/>
          <w:color w:val="000000"/>
          <w:kern w:val="2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甲、乙双方的权利和义务</w:t>
      </w:r>
    </w:p>
    <w:p>
      <w:pPr>
        <w:widowControl w:val="0"/>
        <w:spacing w:line="360" w:lineRule="auto"/>
        <w:ind w:firstLine="538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1．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的权利和义务：</w:t>
      </w:r>
    </w:p>
    <w:p>
      <w:pPr>
        <w:widowControl w:val="0"/>
        <w:spacing w:line="360" w:lineRule="auto"/>
        <w:ind w:firstLine="538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1.1.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有权对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定点保险业务范围内公务车的承保和理赔进行监督检查。</w:t>
      </w:r>
    </w:p>
    <w:p>
      <w:pPr>
        <w:widowControl w:val="0"/>
        <w:spacing w:line="360" w:lineRule="auto"/>
        <w:ind w:firstLine="538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1.2．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提交的定点保险业务范围内的提交的保险单进行备案、登记。</w:t>
      </w:r>
    </w:p>
    <w:p>
      <w:pPr>
        <w:widowControl w:val="0"/>
        <w:spacing w:line="360" w:lineRule="auto"/>
        <w:ind w:firstLine="538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1.3．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对定点业务范围内的投保车辆有协助缴纳保险费的义务。</w:t>
      </w:r>
    </w:p>
    <w:p>
      <w:pPr>
        <w:widowControl w:val="0"/>
        <w:spacing w:line="360" w:lineRule="auto"/>
        <w:ind w:firstLine="538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2.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的权利和义务：</w:t>
      </w:r>
    </w:p>
    <w:p>
      <w:pPr>
        <w:widowControl w:val="0"/>
        <w:spacing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2.1.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应全面履行服务承诺。</w:t>
      </w:r>
    </w:p>
    <w:p>
      <w:pPr>
        <w:widowControl w:val="0"/>
        <w:spacing w:line="360" w:lineRule="auto"/>
        <w:ind w:firstLine="56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2.2．出险车辆必须在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定点的维修厂家修理(异地出险可另行协商)。.</w:t>
      </w:r>
    </w:p>
    <w:p>
      <w:pPr>
        <w:widowControl w:val="0"/>
        <w:spacing w:line="360" w:lineRule="auto"/>
        <w:ind w:firstLine="56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2.3.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对定点保险业务范围内的出险车辆有协助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索赔的义务。</w:t>
      </w:r>
    </w:p>
    <w:p>
      <w:pPr>
        <w:widowControl w:val="0"/>
        <w:spacing w:line="360" w:lineRule="auto"/>
        <w:ind w:firstLine="56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2.4．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在办理保险费结算前，应将保险单交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备案登记，并按月报送报表。涉及理赔金额超过1万元或发生较大人员伤亡事故的赔案，应及时向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报备。</w:t>
      </w:r>
    </w:p>
    <w:p>
      <w:pPr>
        <w:widowControl w:val="0"/>
        <w:spacing w:line="360" w:lineRule="auto"/>
        <w:ind w:firstLine="562" w:firstLineChars="20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color w:val="000000"/>
          <w:kern w:val="2"/>
          <w:sz w:val="28"/>
          <w:szCs w:val="28"/>
        </w:rPr>
        <w:t xml:space="preserve">第七条  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罚  则</w:t>
      </w:r>
    </w:p>
    <w:p>
      <w:pPr>
        <w:widowControl w:val="0"/>
        <w:spacing w:line="360" w:lineRule="auto"/>
        <w:ind w:firstLine="56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 xml:space="preserve">1. 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有下列情形之一者，取消其定点保险资格，并在三年内不得参与定点保险投标，履约保证金不予退还：①服务态度差造成恶劣影响的；②一年内被有效投诉5次以上的（含5次）；③不按规定要求将承保单交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院方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备案或不及时报送定点保险业务报表，一年内累计达到5次的；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instrText xml:space="preserve"> = 4 \* GB3 </w:instrTex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④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车辆发生事故、交警部门已作出结论，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中标方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不能及时理赔的;⑤投保车辆发生事故后不在定点修理厂维修的(不含异地出事车辆)；⑥定点保险业务的承揽过程中，采取商业贿赂等不正当手段被相关部门查处的。</w:t>
      </w:r>
    </w:p>
    <w:p>
      <w:pPr>
        <w:widowControl w:val="0"/>
        <w:spacing w:line="400" w:lineRule="atLeast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</w:p>
    <w:p>
      <w:pPr>
        <w:widowControl w:val="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 xml:space="preserve">  </w:t>
      </w:r>
    </w:p>
    <w:p>
      <w:pPr>
        <w:widowControl w:val="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</w:p>
    <w:p>
      <w:pPr>
        <w:widowControl w:val="0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</w:p>
    <w:p>
      <w:pPr>
        <w:widowControl w:val="0"/>
        <w:spacing w:line="360" w:lineRule="auto"/>
        <w:jc w:val="both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 xml:space="preserve">                                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EE932"/>
    <w:multiLevelType w:val="singleLevel"/>
    <w:tmpl w:val="68FEE932"/>
    <w:lvl w:ilvl="0" w:tentative="0">
      <w:start w:val="1"/>
      <w:numFmt w:val="chineseCounting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2A"/>
    <w:rsid w:val="000162BA"/>
    <w:rsid w:val="000D645C"/>
    <w:rsid w:val="000F3BB6"/>
    <w:rsid w:val="00152ECC"/>
    <w:rsid w:val="001A264E"/>
    <w:rsid w:val="001F799C"/>
    <w:rsid w:val="0022536C"/>
    <w:rsid w:val="00251618"/>
    <w:rsid w:val="00272C4A"/>
    <w:rsid w:val="002812CB"/>
    <w:rsid w:val="00281535"/>
    <w:rsid w:val="003724A8"/>
    <w:rsid w:val="00390BAF"/>
    <w:rsid w:val="0048085D"/>
    <w:rsid w:val="004C788D"/>
    <w:rsid w:val="004D769E"/>
    <w:rsid w:val="00500720"/>
    <w:rsid w:val="005353EF"/>
    <w:rsid w:val="005678CF"/>
    <w:rsid w:val="00623F36"/>
    <w:rsid w:val="006564A9"/>
    <w:rsid w:val="0066322A"/>
    <w:rsid w:val="00691598"/>
    <w:rsid w:val="006E22F8"/>
    <w:rsid w:val="00922E88"/>
    <w:rsid w:val="00A37C98"/>
    <w:rsid w:val="00A96A9E"/>
    <w:rsid w:val="00AB2B84"/>
    <w:rsid w:val="00AC1E29"/>
    <w:rsid w:val="00B258DA"/>
    <w:rsid w:val="00B54A85"/>
    <w:rsid w:val="00BC791B"/>
    <w:rsid w:val="00C65D75"/>
    <w:rsid w:val="00CC0194"/>
    <w:rsid w:val="00D36CA5"/>
    <w:rsid w:val="00D965D2"/>
    <w:rsid w:val="00DF767E"/>
    <w:rsid w:val="00E24819"/>
    <w:rsid w:val="00E32B28"/>
    <w:rsid w:val="00E37210"/>
    <w:rsid w:val="00EC602B"/>
    <w:rsid w:val="00F718D9"/>
    <w:rsid w:val="00FA000B"/>
    <w:rsid w:val="2D493AFE"/>
    <w:rsid w:val="4F2D0BDB"/>
    <w:rsid w:val="66480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中国平安保险(集团)股份有限公司</Company>
  <Pages>4</Pages>
  <Words>258</Words>
  <Characters>1472</Characters>
  <Lines>12</Lines>
  <Paragraphs>3</Paragraphs>
  <TotalTime>0</TotalTime>
  <ScaleCrop>false</ScaleCrop>
  <LinksUpToDate>false</LinksUpToDate>
  <CharactersWithSpaces>1727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2021-01-26T01:01:00Z</dcterms:created>
  <dc:creator>localadmin</dc:creator>
  <cp:lastModifiedBy>123</cp:lastModifiedBy>
  <dcterms:modified xsi:type="dcterms:W3CDTF">2025-10-30T00:43:51Z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